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0037484"/>
        <w:docPartObj>
          <w:docPartGallery w:val="Cover Pages"/>
          <w:docPartUnique/>
        </w:docPartObj>
      </w:sdtPr>
      <w:sdtEndPr>
        <w:rPr>
          <w:rFonts w:ascii="Arial" w:hAnsi="Arial" w:cs="Arial"/>
          <w:b/>
          <w:sz w:val="20"/>
          <w:szCs w:val="20"/>
        </w:rPr>
      </w:sdtEndPr>
      <w:sdtContent>
        <w:p w14:paraId="26C12475" w14:textId="77777777" w:rsidR="00D80B6D" w:rsidRDefault="00D80B6D"/>
        <w:p w14:paraId="5AA0512D" w14:textId="77777777" w:rsidR="00D80B6D" w:rsidRDefault="00D80B6D" w:rsidP="00D80B6D">
          <w:pPr>
            <w:pStyle w:val="Nadpis3"/>
            <w:spacing w:before="10"/>
            <w:rPr>
              <w:rFonts w:ascii="Arial" w:hAnsi="Arial" w:cs="Arial"/>
              <w:color w:val="1D1D1B"/>
            </w:rPr>
          </w:pPr>
        </w:p>
        <w:p w14:paraId="53571FC9" w14:textId="77777777" w:rsidR="00D80B6D" w:rsidRPr="00491445" w:rsidRDefault="00D80B6D" w:rsidP="00D80B6D">
          <w:pPr>
            <w:spacing w:before="230"/>
            <w:ind w:left="165"/>
            <w:jc w:val="center"/>
            <w:rPr>
              <w:rFonts w:ascii="Arial" w:hAnsi="Arial" w:cs="Arial"/>
              <w:color w:val="CD1719"/>
              <w:sz w:val="24"/>
            </w:rPr>
          </w:pPr>
          <w:r w:rsidRPr="00491445">
            <w:rPr>
              <w:rFonts w:ascii="Arial" w:hAnsi="Arial" w:cs="Arial"/>
              <w:color w:val="1D1D1B"/>
              <w:sz w:val="24"/>
            </w:rPr>
            <w:t xml:space="preserve">INDEX HYPOTEČNÍCH ÚVĚRŮ </w:t>
          </w:r>
          <w:r w:rsidRPr="00491445">
            <w:rPr>
              <w:rFonts w:ascii="Arial" w:hAnsi="Arial" w:cs="Arial"/>
              <w:color w:val="CD1719"/>
              <w:sz w:val="24"/>
            </w:rPr>
            <w:t xml:space="preserve">| </w:t>
          </w:r>
          <w:r w:rsidRPr="00491445">
            <w:rPr>
              <w:rFonts w:ascii="Arial" w:hAnsi="Arial" w:cs="Arial"/>
              <w:color w:val="1D1D1B"/>
              <w:sz w:val="24"/>
            </w:rPr>
            <w:t xml:space="preserve">FIXINDEX </w:t>
          </w:r>
        </w:p>
        <w:p w14:paraId="67DAC181" w14:textId="69F4B24D" w:rsidR="00F040CA" w:rsidRDefault="00D80B6D" w:rsidP="004B4992">
          <w:pPr>
            <w:spacing w:before="230"/>
            <w:ind w:left="165"/>
            <w:jc w:val="center"/>
            <w:rPr>
              <w:rFonts w:ascii="Arial" w:hAnsi="Arial" w:cs="Arial"/>
              <w:color w:val="1D1D1B"/>
              <w:sz w:val="24"/>
            </w:rPr>
          </w:pPr>
          <w:r w:rsidRPr="00F040CA">
            <w:rPr>
              <w:rFonts w:ascii="Arial" w:hAnsi="Arial" w:cs="Arial"/>
              <w:color w:val="1D1D1B"/>
              <w:sz w:val="24"/>
            </w:rPr>
            <w:t xml:space="preserve">INDEX PODÍLOVÝCH </w:t>
          </w:r>
        </w:p>
        <w:p w14:paraId="3E70E6BF" w14:textId="5B58B527" w:rsidR="00D80B6D" w:rsidRPr="00F040CA" w:rsidRDefault="00B52B36" w:rsidP="00D80B6D">
          <w:pPr>
            <w:spacing w:before="230"/>
            <w:ind w:left="165"/>
            <w:jc w:val="center"/>
            <w:rPr>
              <w:rFonts w:ascii="Arial" w:hAnsi="Arial" w:cs="Arial"/>
              <w:b/>
              <w:color w:val="1D1D1B"/>
              <w:sz w:val="24"/>
            </w:rPr>
          </w:pPr>
          <w:r>
            <w:rPr>
              <w:rFonts w:ascii="Arial" w:hAnsi="Arial" w:cs="Arial"/>
              <w:b/>
              <w:color w:val="1D1D1B"/>
              <w:sz w:val="24"/>
            </w:rPr>
            <w:t>POV</w:t>
          </w:r>
          <w:r w:rsidR="00D80B6D" w:rsidRPr="00F040CA">
            <w:rPr>
              <w:rFonts w:ascii="Arial" w:hAnsi="Arial" w:cs="Arial"/>
              <w:b/>
              <w:color w:val="1D1D1B"/>
              <w:sz w:val="24"/>
            </w:rPr>
            <w:t xml:space="preserve">INDEX </w:t>
          </w:r>
        </w:p>
        <w:p w14:paraId="0C510D86" w14:textId="77777777" w:rsidR="00D80B6D" w:rsidRPr="00491445" w:rsidRDefault="00D80B6D" w:rsidP="00D80B6D">
          <w:pPr>
            <w:spacing w:before="230"/>
            <w:ind w:left="165"/>
            <w:jc w:val="center"/>
            <w:rPr>
              <w:rFonts w:ascii="Arial" w:hAnsi="Arial" w:cs="Arial"/>
              <w:color w:val="CD1719"/>
              <w:sz w:val="24"/>
            </w:rPr>
          </w:pPr>
          <w:r w:rsidRPr="00491445">
            <w:rPr>
              <w:rFonts w:ascii="Arial" w:hAnsi="Arial" w:cs="Arial"/>
              <w:color w:val="1D1D1B"/>
              <w:sz w:val="24"/>
            </w:rPr>
            <w:t xml:space="preserve">INDEX SPOTŘEBITELSKÝCH ÚVĚRŮ </w:t>
          </w:r>
          <w:r w:rsidRPr="00491445">
            <w:rPr>
              <w:rFonts w:ascii="Arial" w:hAnsi="Arial" w:cs="Arial"/>
              <w:color w:val="CD1719"/>
              <w:sz w:val="24"/>
            </w:rPr>
            <w:t xml:space="preserve"> </w:t>
          </w:r>
        </w:p>
        <w:p w14:paraId="2AA831D8" w14:textId="77777777" w:rsidR="00D80B6D" w:rsidRDefault="00D80B6D" w:rsidP="00D80B6D">
          <w:pPr>
            <w:pStyle w:val="Zkladntext"/>
            <w:rPr>
              <w:sz w:val="20"/>
            </w:rPr>
          </w:pPr>
        </w:p>
        <w:p w14:paraId="118CE9E3" w14:textId="77777777" w:rsidR="00D80B6D" w:rsidRDefault="00D80B6D" w:rsidP="00D80B6D">
          <w:pPr>
            <w:pStyle w:val="Zkladntext"/>
            <w:rPr>
              <w:sz w:val="20"/>
            </w:rPr>
          </w:pPr>
          <w:r>
            <w:rPr>
              <w:noProof/>
              <w:sz w:val="20"/>
              <w:lang w:bidi="ar-SA"/>
            </w:rPr>
            <w:drawing>
              <wp:anchor distT="0" distB="0" distL="114300" distR="114300" simplePos="0" relativeHeight="251662336" behindDoc="1" locked="0" layoutInCell="1" allowOverlap="1" wp14:anchorId="4B6A35EB" wp14:editId="44A35EF3">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F568B4" w14:textId="77777777" w:rsidR="00D80B6D" w:rsidRDefault="00D80B6D" w:rsidP="00D80B6D">
          <w:pPr>
            <w:pStyle w:val="Zkladntext"/>
            <w:rPr>
              <w:sz w:val="20"/>
            </w:rPr>
          </w:pPr>
        </w:p>
        <w:p w14:paraId="12BEA6EC" w14:textId="77777777" w:rsidR="00D80B6D" w:rsidRDefault="00D80B6D" w:rsidP="00D80B6D">
          <w:pPr>
            <w:pStyle w:val="Zkladntext"/>
            <w:rPr>
              <w:sz w:val="20"/>
            </w:rPr>
          </w:pPr>
        </w:p>
        <w:p w14:paraId="371663EE" w14:textId="77777777" w:rsidR="00D80B6D" w:rsidRDefault="00D80B6D" w:rsidP="00D80B6D">
          <w:pPr>
            <w:pStyle w:val="Zkladntext"/>
            <w:rPr>
              <w:sz w:val="20"/>
            </w:rPr>
          </w:pPr>
        </w:p>
        <w:p w14:paraId="71048424" w14:textId="77777777" w:rsidR="00D80B6D" w:rsidRDefault="00D80B6D" w:rsidP="00D80B6D">
          <w:pPr>
            <w:pStyle w:val="Zkladntext"/>
            <w:rPr>
              <w:sz w:val="20"/>
            </w:rPr>
          </w:pPr>
        </w:p>
        <w:p w14:paraId="554E3B62" w14:textId="77777777" w:rsidR="00D80B6D" w:rsidRDefault="00D80B6D" w:rsidP="00D80B6D">
          <w:pPr>
            <w:pStyle w:val="Zkladntext"/>
            <w:rPr>
              <w:sz w:val="20"/>
            </w:rPr>
          </w:pPr>
        </w:p>
        <w:p w14:paraId="3549046E" w14:textId="77777777" w:rsidR="00D80B6D" w:rsidRDefault="00D80B6D" w:rsidP="00D80B6D">
          <w:pPr>
            <w:pStyle w:val="Zkladntext"/>
            <w:rPr>
              <w:sz w:val="20"/>
            </w:rPr>
          </w:pPr>
        </w:p>
        <w:p w14:paraId="4D3BC408" w14:textId="77777777" w:rsidR="00D80B6D" w:rsidRDefault="00D80B6D" w:rsidP="00D80B6D">
          <w:pPr>
            <w:pStyle w:val="Zkladntext"/>
            <w:rPr>
              <w:sz w:val="20"/>
            </w:rPr>
          </w:pPr>
        </w:p>
        <w:p w14:paraId="08DC391B" w14:textId="77777777" w:rsidR="00D80B6D" w:rsidRDefault="00D80B6D" w:rsidP="00D80B6D">
          <w:pPr>
            <w:pStyle w:val="Zkladntext"/>
            <w:jc w:val="both"/>
            <w:rPr>
              <w:rFonts w:ascii="Arial" w:hAnsi="Arial" w:cs="Arial"/>
              <w:color w:val="FFFFFF" w:themeColor="background1"/>
              <w:sz w:val="20"/>
            </w:rPr>
          </w:pPr>
        </w:p>
        <w:p w14:paraId="03877E41" w14:textId="77777777" w:rsidR="00D80B6D" w:rsidRDefault="00D80B6D" w:rsidP="00D80B6D">
          <w:pPr>
            <w:pStyle w:val="Zkladntext"/>
            <w:jc w:val="both"/>
            <w:rPr>
              <w:rFonts w:ascii="Arial" w:hAnsi="Arial" w:cs="Arial"/>
              <w:b/>
              <w:sz w:val="20"/>
            </w:rPr>
          </w:pPr>
        </w:p>
        <w:p w14:paraId="000334FF" w14:textId="77777777" w:rsidR="00D80B6D" w:rsidRDefault="00D80B6D" w:rsidP="00D80B6D">
          <w:pPr>
            <w:pStyle w:val="Zkladntext"/>
            <w:jc w:val="both"/>
            <w:rPr>
              <w:rFonts w:ascii="Arial" w:hAnsi="Arial" w:cs="Arial"/>
              <w:b/>
              <w:sz w:val="20"/>
            </w:rPr>
          </w:pPr>
        </w:p>
        <w:p w14:paraId="1614C2A7" w14:textId="77777777" w:rsidR="00D80B6D" w:rsidRDefault="00D80B6D" w:rsidP="00D80B6D">
          <w:pPr>
            <w:pStyle w:val="Zkladntext"/>
            <w:jc w:val="both"/>
            <w:rPr>
              <w:rFonts w:ascii="Arial" w:hAnsi="Arial" w:cs="Arial"/>
              <w:b/>
              <w:sz w:val="20"/>
            </w:rPr>
          </w:pPr>
        </w:p>
        <w:p w14:paraId="357C33FF" w14:textId="77777777" w:rsidR="00D80B6D" w:rsidRDefault="00D80B6D" w:rsidP="00D80B6D">
          <w:pPr>
            <w:pStyle w:val="Zkladntext"/>
            <w:jc w:val="both"/>
            <w:rPr>
              <w:rFonts w:ascii="Arial" w:hAnsi="Arial" w:cs="Arial"/>
              <w:b/>
              <w:sz w:val="20"/>
            </w:rPr>
          </w:pPr>
        </w:p>
        <w:p w14:paraId="78E38F31" w14:textId="77777777" w:rsidR="00D80B6D" w:rsidRDefault="00D80B6D" w:rsidP="00D80B6D">
          <w:pPr>
            <w:pStyle w:val="Zkladntext"/>
            <w:jc w:val="both"/>
            <w:rPr>
              <w:rFonts w:ascii="Arial" w:hAnsi="Arial" w:cs="Arial"/>
              <w:b/>
              <w:sz w:val="20"/>
            </w:rPr>
          </w:pPr>
        </w:p>
        <w:p w14:paraId="4CF95352" w14:textId="77777777" w:rsidR="00D80B6D" w:rsidRDefault="00D80B6D" w:rsidP="00D80B6D">
          <w:pPr>
            <w:pStyle w:val="Zkladntext"/>
            <w:jc w:val="both"/>
            <w:rPr>
              <w:rFonts w:ascii="Arial" w:hAnsi="Arial" w:cs="Arial"/>
              <w:b/>
              <w:sz w:val="20"/>
            </w:rPr>
          </w:pPr>
        </w:p>
        <w:p w14:paraId="13FE48D5" w14:textId="77777777" w:rsidR="00D80B6D" w:rsidRDefault="00D80B6D" w:rsidP="00D80B6D">
          <w:pPr>
            <w:pStyle w:val="Zkladntext"/>
            <w:jc w:val="both"/>
            <w:rPr>
              <w:rFonts w:ascii="Arial" w:hAnsi="Arial" w:cs="Arial"/>
              <w:b/>
              <w:sz w:val="20"/>
            </w:rPr>
          </w:pPr>
        </w:p>
        <w:p w14:paraId="1D3CD744" w14:textId="77777777" w:rsidR="00D80B6D" w:rsidRDefault="00D80B6D" w:rsidP="00D80B6D">
          <w:pPr>
            <w:pStyle w:val="Zkladntext"/>
            <w:jc w:val="both"/>
            <w:rPr>
              <w:rFonts w:ascii="Arial" w:hAnsi="Arial" w:cs="Arial"/>
              <w:b/>
              <w:sz w:val="20"/>
            </w:rPr>
          </w:pPr>
        </w:p>
        <w:p w14:paraId="421B14E9" w14:textId="77777777" w:rsidR="00D80B6D" w:rsidRDefault="00D80B6D" w:rsidP="00D80B6D">
          <w:pPr>
            <w:pStyle w:val="Zkladntext"/>
            <w:jc w:val="both"/>
            <w:rPr>
              <w:rFonts w:ascii="Arial" w:hAnsi="Arial" w:cs="Arial"/>
              <w:b/>
              <w:sz w:val="20"/>
            </w:rPr>
          </w:pPr>
        </w:p>
        <w:p w14:paraId="23FDF3E1" w14:textId="77777777" w:rsidR="00D80B6D" w:rsidRDefault="00D80B6D" w:rsidP="00D80B6D">
          <w:pPr>
            <w:pStyle w:val="Zkladntext"/>
            <w:jc w:val="both"/>
            <w:rPr>
              <w:rFonts w:ascii="Arial" w:hAnsi="Arial" w:cs="Arial"/>
              <w:b/>
              <w:sz w:val="20"/>
            </w:rPr>
          </w:pPr>
        </w:p>
        <w:p w14:paraId="6081D248" w14:textId="77777777" w:rsidR="00D80B6D" w:rsidRDefault="00D80B6D" w:rsidP="00D80B6D">
          <w:pPr>
            <w:pStyle w:val="Zkladntext"/>
            <w:jc w:val="both"/>
            <w:rPr>
              <w:rFonts w:ascii="Arial" w:hAnsi="Arial" w:cs="Arial"/>
              <w:b/>
              <w:sz w:val="20"/>
            </w:rPr>
          </w:pPr>
        </w:p>
        <w:p w14:paraId="6F6D024C" w14:textId="77777777" w:rsidR="00D80B6D" w:rsidRDefault="00D80B6D" w:rsidP="00D80B6D">
          <w:pPr>
            <w:pStyle w:val="Zkladntext"/>
            <w:jc w:val="both"/>
            <w:rPr>
              <w:rFonts w:ascii="Arial" w:hAnsi="Arial" w:cs="Arial"/>
              <w:b/>
              <w:sz w:val="20"/>
            </w:rPr>
          </w:pPr>
        </w:p>
        <w:p w14:paraId="43FE1E43" w14:textId="77777777" w:rsidR="00D80B6D" w:rsidRDefault="00D80B6D" w:rsidP="00D80B6D">
          <w:pPr>
            <w:pStyle w:val="Zkladntext"/>
            <w:jc w:val="both"/>
            <w:rPr>
              <w:rFonts w:ascii="Arial" w:hAnsi="Arial" w:cs="Arial"/>
              <w:b/>
              <w:sz w:val="20"/>
            </w:rPr>
          </w:pPr>
        </w:p>
        <w:p w14:paraId="06DBC58A" w14:textId="77777777" w:rsidR="00D80B6D" w:rsidRDefault="00D80B6D" w:rsidP="00D80B6D">
          <w:pPr>
            <w:pStyle w:val="Zkladntext"/>
            <w:jc w:val="both"/>
            <w:rPr>
              <w:rFonts w:ascii="Arial" w:hAnsi="Arial" w:cs="Arial"/>
              <w:b/>
              <w:sz w:val="20"/>
            </w:rPr>
          </w:pPr>
        </w:p>
        <w:p w14:paraId="3835E067" w14:textId="77777777" w:rsidR="00D80B6D" w:rsidRDefault="00D80B6D" w:rsidP="00D80B6D">
          <w:pPr>
            <w:pStyle w:val="Zkladntext"/>
            <w:jc w:val="both"/>
            <w:rPr>
              <w:rFonts w:ascii="Arial" w:hAnsi="Arial" w:cs="Arial"/>
              <w:b/>
              <w:sz w:val="20"/>
            </w:rPr>
          </w:pPr>
        </w:p>
        <w:p w14:paraId="4AF2F008" w14:textId="77777777" w:rsidR="00C64B40" w:rsidRDefault="00C64B40" w:rsidP="00D80B6D">
          <w:pPr>
            <w:pStyle w:val="Zkladntext"/>
            <w:jc w:val="both"/>
            <w:rPr>
              <w:rFonts w:ascii="Arial" w:hAnsi="Arial" w:cs="Arial"/>
              <w:b/>
              <w:sz w:val="20"/>
            </w:rPr>
          </w:pPr>
        </w:p>
        <w:p w14:paraId="06AA8F00" w14:textId="77777777" w:rsidR="00C64B40" w:rsidRDefault="00C64B40" w:rsidP="00D80B6D">
          <w:pPr>
            <w:pStyle w:val="Zkladntext"/>
            <w:jc w:val="both"/>
            <w:rPr>
              <w:rFonts w:ascii="Arial" w:hAnsi="Arial" w:cs="Arial"/>
              <w:b/>
              <w:sz w:val="20"/>
            </w:rPr>
          </w:pPr>
        </w:p>
        <w:p w14:paraId="2B7A9498" w14:textId="6B692D21" w:rsidR="00C64B40" w:rsidRDefault="00C64B40" w:rsidP="00D80B6D">
          <w:pPr>
            <w:pStyle w:val="Zkladntext"/>
            <w:jc w:val="both"/>
            <w:rPr>
              <w:rFonts w:ascii="Arial" w:hAnsi="Arial" w:cs="Arial"/>
              <w:b/>
              <w:sz w:val="20"/>
            </w:rPr>
          </w:pPr>
        </w:p>
        <w:p w14:paraId="3CF5402D" w14:textId="27ABDB7C" w:rsidR="004B4992" w:rsidRDefault="004B4992" w:rsidP="00D80B6D">
          <w:pPr>
            <w:pStyle w:val="Zkladntext"/>
            <w:jc w:val="both"/>
            <w:rPr>
              <w:rFonts w:ascii="Arial" w:hAnsi="Arial" w:cs="Arial"/>
              <w:b/>
              <w:sz w:val="20"/>
            </w:rPr>
          </w:pPr>
        </w:p>
        <w:p w14:paraId="070FF56C" w14:textId="0A46EDC1" w:rsidR="004B4992" w:rsidRDefault="004B4992" w:rsidP="00D80B6D">
          <w:pPr>
            <w:pStyle w:val="Zkladntext"/>
            <w:jc w:val="both"/>
            <w:rPr>
              <w:rFonts w:ascii="Arial" w:hAnsi="Arial" w:cs="Arial"/>
              <w:b/>
              <w:sz w:val="20"/>
            </w:rPr>
          </w:pPr>
        </w:p>
        <w:p w14:paraId="5E1BBD75" w14:textId="6940221E" w:rsidR="004B4992" w:rsidRDefault="004B4992" w:rsidP="00D80B6D">
          <w:pPr>
            <w:pStyle w:val="Zkladntext"/>
            <w:jc w:val="both"/>
            <w:rPr>
              <w:rFonts w:ascii="Arial" w:hAnsi="Arial" w:cs="Arial"/>
              <w:b/>
              <w:sz w:val="20"/>
            </w:rPr>
          </w:pPr>
        </w:p>
        <w:p w14:paraId="5C69D953" w14:textId="63C32BBA" w:rsidR="004B4992" w:rsidRDefault="004B4992" w:rsidP="00D80B6D">
          <w:pPr>
            <w:pStyle w:val="Zkladntext"/>
            <w:jc w:val="both"/>
            <w:rPr>
              <w:rFonts w:ascii="Arial" w:hAnsi="Arial" w:cs="Arial"/>
              <w:b/>
              <w:sz w:val="20"/>
            </w:rPr>
          </w:pPr>
        </w:p>
        <w:p w14:paraId="517171F6" w14:textId="082DB9B8" w:rsidR="004B4992" w:rsidRDefault="004B4992" w:rsidP="00D80B6D">
          <w:pPr>
            <w:pStyle w:val="Zkladntext"/>
            <w:jc w:val="both"/>
            <w:rPr>
              <w:rFonts w:ascii="Arial" w:hAnsi="Arial" w:cs="Arial"/>
              <w:b/>
              <w:sz w:val="20"/>
            </w:rPr>
          </w:pPr>
        </w:p>
        <w:p w14:paraId="5D3A8908" w14:textId="29A7D2CC" w:rsidR="004B4992" w:rsidRDefault="004B4992" w:rsidP="00D80B6D">
          <w:pPr>
            <w:pStyle w:val="Zkladntext"/>
            <w:jc w:val="both"/>
            <w:rPr>
              <w:rFonts w:ascii="Arial" w:hAnsi="Arial" w:cs="Arial"/>
              <w:b/>
              <w:sz w:val="20"/>
            </w:rPr>
          </w:pPr>
        </w:p>
        <w:p w14:paraId="264E9C40" w14:textId="30CD094F" w:rsidR="004B4992" w:rsidRDefault="004B4992" w:rsidP="00D80B6D">
          <w:pPr>
            <w:pStyle w:val="Zkladntext"/>
            <w:jc w:val="both"/>
            <w:rPr>
              <w:rFonts w:ascii="Arial" w:hAnsi="Arial" w:cs="Arial"/>
              <w:b/>
              <w:sz w:val="20"/>
            </w:rPr>
          </w:pPr>
        </w:p>
        <w:p w14:paraId="44EAEF2B" w14:textId="77777777" w:rsidR="004B4992" w:rsidRDefault="004B4992" w:rsidP="00D80B6D">
          <w:pPr>
            <w:pStyle w:val="Zkladntext"/>
            <w:jc w:val="both"/>
            <w:rPr>
              <w:rFonts w:ascii="Arial" w:hAnsi="Arial" w:cs="Arial"/>
              <w:b/>
              <w:sz w:val="20"/>
            </w:rPr>
          </w:pPr>
        </w:p>
        <w:p w14:paraId="05EE9BC6" w14:textId="6F517FA5" w:rsidR="00D80B6D" w:rsidRPr="006E3520" w:rsidRDefault="00D80B6D" w:rsidP="00D80B6D">
          <w:pPr>
            <w:pStyle w:val="Zkladntext"/>
            <w:jc w:val="both"/>
            <w:rPr>
              <w:rFonts w:ascii="Arial" w:hAnsi="Arial" w:cs="Arial"/>
              <w:b/>
              <w:sz w:val="20"/>
            </w:rPr>
          </w:pPr>
          <w:r w:rsidRPr="006E3520">
            <w:rPr>
              <w:rFonts w:ascii="Arial" w:hAnsi="Arial" w:cs="Arial"/>
              <w:b/>
              <w:sz w:val="20"/>
            </w:rPr>
            <w:t>O společnosti Broker Consulting</w:t>
          </w:r>
        </w:p>
        <w:p w14:paraId="2DDAB1EE" w14:textId="77777777" w:rsidR="00D80B6D" w:rsidRDefault="00D80B6D" w:rsidP="00D80B6D">
          <w:pPr>
            <w:jc w:val="both"/>
            <w:rPr>
              <w:rFonts w:ascii="Arial" w:hAnsi="Arial" w:cs="Arial"/>
              <w:sz w:val="20"/>
            </w:rPr>
          </w:pPr>
        </w:p>
        <w:p w14:paraId="2FCFB564" w14:textId="40100E02" w:rsidR="00D80B6D" w:rsidRPr="009362DC" w:rsidRDefault="009362DC" w:rsidP="009362DC">
          <w:pPr>
            <w:jc w:val="both"/>
            <w:rPr>
              <w:rFonts w:ascii="Arial" w:hAnsi="Arial" w:cs="Arial"/>
              <w:sz w:val="18"/>
              <w:szCs w:val="18"/>
              <w:lang w:val="de-DE"/>
            </w:rPr>
          </w:pPr>
          <w:r w:rsidRPr="00BB48AE">
            <w:rPr>
              <w:rFonts w:ascii="Arial" w:hAnsi="Arial" w:cs="Arial"/>
              <w:sz w:val="18"/>
            </w:rPr>
            <w:t>Broker Consulting je jednou z největších společností na českém a slovenském trhu</w:t>
          </w:r>
          <w:r>
            <w:rPr>
              <w:rFonts w:ascii="Arial" w:hAnsi="Arial" w:cs="Arial"/>
              <w:sz w:val="18"/>
            </w:rPr>
            <w:t>, která poskytuje služby</w:t>
          </w:r>
          <w:r w:rsidRPr="00BB48AE">
            <w:rPr>
              <w:rFonts w:ascii="Arial" w:hAnsi="Arial" w:cs="Arial"/>
              <w:sz w:val="18"/>
            </w:rPr>
            <w:t xml:space="preserve"> v oblasti financí a realit. Od roku 1998 získala důvěru více než 600 000 klientů. Poskytuje také služby přes 4 000 firmám</w:t>
          </w:r>
          <w:r>
            <w:rPr>
              <w:rFonts w:ascii="Arial" w:hAnsi="Arial" w:cs="Arial"/>
              <w:sz w:val="18"/>
            </w:rPr>
            <w:t>. Distribuci služeb zajišťuje p</w:t>
          </w:r>
          <w:r w:rsidRPr="00BB48AE">
            <w:rPr>
              <w:rFonts w:ascii="Arial" w:hAnsi="Arial" w:cs="Arial"/>
              <w:sz w:val="18"/>
            </w:rPr>
            <w:t xml:space="preserve">řibližně </w:t>
          </w:r>
          <w:r>
            <w:rPr>
              <w:rFonts w:ascii="Arial" w:hAnsi="Arial" w:cs="Arial"/>
              <w:sz w:val="18"/>
            </w:rPr>
            <w:t>2 000</w:t>
          </w:r>
          <w:r w:rsidRPr="00BB48AE">
            <w:rPr>
              <w:rFonts w:ascii="Arial" w:hAnsi="Arial" w:cs="Arial"/>
              <w:sz w:val="18"/>
            </w:rPr>
            <w:t xml:space="preserve"> konzultantů </w:t>
          </w:r>
          <w:r>
            <w:rPr>
              <w:rFonts w:ascii="Arial" w:hAnsi="Arial" w:cs="Arial"/>
              <w:sz w:val="18"/>
            </w:rPr>
            <w:t xml:space="preserve">(profesionální konzultanti, zaměstnanci, konzultanti v zapracování v ČR i SR) </w:t>
          </w:r>
          <w:r w:rsidRPr="00BB48AE">
            <w:rPr>
              <w:rFonts w:ascii="Arial" w:hAnsi="Arial" w:cs="Arial"/>
              <w:sz w:val="18"/>
            </w:rPr>
            <w:t>ve více než 100 kancelářích</w:t>
          </w:r>
          <w:r>
            <w:rPr>
              <w:rFonts w:ascii="Arial" w:hAnsi="Arial" w:cs="Arial"/>
              <w:sz w:val="18"/>
            </w:rPr>
            <w:t xml:space="preserve"> a téměř 50 franšízových pobočkách OK POINT</w:t>
          </w:r>
          <w:r w:rsidRPr="00BB48AE">
            <w:rPr>
              <w:rFonts w:ascii="Arial" w:hAnsi="Arial" w:cs="Arial"/>
              <w:sz w:val="18"/>
            </w:rPr>
            <w:t xml:space="preserve">. Společnost </w:t>
          </w:r>
          <w:r>
            <w:rPr>
              <w:rFonts w:ascii="Arial" w:hAnsi="Arial" w:cs="Arial"/>
              <w:sz w:val="18"/>
            </w:rPr>
            <w:t>uvedla</w:t>
          </w:r>
          <w:r w:rsidRPr="00BB48AE">
            <w:rPr>
              <w:rFonts w:ascii="Arial" w:hAnsi="Arial" w:cs="Arial"/>
              <w:sz w:val="18"/>
            </w:rPr>
            <w:t xml:space="preserve">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 Broker Consulting ve spolupráci s mBank a MONETA Money Bank. </w:t>
          </w:r>
          <w:r w:rsidRPr="00BB48AE">
            <w:rPr>
              <w:rStyle w:val="dn"/>
              <w:rFonts w:ascii="Arial" w:hAnsi="Arial" w:cs="Arial"/>
              <w:sz w:val="18"/>
              <w:szCs w:val="18"/>
            </w:rPr>
            <w:t xml:space="preserve">Více na </w:t>
          </w:r>
          <w:hyperlink r:id="rId9" w:history="1">
            <w:r w:rsidRPr="00BB48AE">
              <w:rPr>
                <w:rStyle w:val="Hypertextovodkaz"/>
                <w:rFonts w:ascii="Arial" w:hAnsi="Arial" w:cs="Arial"/>
                <w:color w:val="FF0000"/>
                <w:sz w:val="18"/>
                <w:szCs w:val="18"/>
              </w:rPr>
              <w:t>www.bcas.cz</w:t>
            </w:r>
          </w:hyperlink>
          <w:r w:rsidRPr="00BB48AE">
            <w:rPr>
              <w:rStyle w:val="Hypertextovodkaz"/>
              <w:rFonts w:ascii="Arial" w:hAnsi="Arial" w:cs="Arial"/>
              <w:sz w:val="18"/>
              <w:szCs w:val="18"/>
            </w:rPr>
            <w:t xml:space="preserve">, </w:t>
          </w:r>
          <w:hyperlink r:id="rId10" w:history="1">
            <w:r w:rsidRPr="00BB48AE">
              <w:rPr>
                <w:rStyle w:val="Hypertextovodkaz"/>
                <w:rFonts w:ascii="Arial" w:hAnsi="Arial" w:cs="Arial"/>
                <w:color w:val="FF0000"/>
                <w:sz w:val="18"/>
                <w:szCs w:val="18"/>
              </w:rPr>
              <w:t>www.okpointy.cz</w:t>
            </w:r>
          </w:hyperlink>
          <w:r w:rsidR="00AA1EF9">
            <w:rPr>
              <w:rStyle w:val="Hypertextovodkaz"/>
              <w:rFonts w:ascii="Arial" w:hAnsi="Arial" w:cs="Arial"/>
              <w:color w:val="FF0000"/>
              <w:sz w:val="18"/>
              <w:szCs w:val="18"/>
            </w:rPr>
            <w:t>, www.okpoint.tv</w:t>
          </w:r>
          <w:r w:rsidRPr="00BB48AE">
            <w:rPr>
              <w:rStyle w:val="dn"/>
              <w:rFonts w:ascii="Arial" w:hAnsi="Arial" w:cs="Arial"/>
              <w:sz w:val="18"/>
              <w:szCs w:val="18"/>
            </w:rPr>
            <w:t xml:space="preserve"> a na </w:t>
          </w:r>
          <w:hyperlink r:id="rId11" w:history="1">
            <w:r w:rsidRPr="00BB48AE">
              <w:rPr>
                <w:rStyle w:val="Hypertextovodkaz"/>
                <w:rFonts w:ascii="Arial" w:hAnsi="Arial" w:cs="Arial"/>
                <w:color w:val="FF0000"/>
                <w:sz w:val="18"/>
                <w:szCs w:val="18"/>
              </w:rPr>
              <w:t>www.realityspolu.cz</w:t>
            </w:r>
          </w:hyperlink>
          <w:r w:rsidRPr="00BB48AE">
            <w:rPr>
              <w:rStyle w:val="dn"/>
              <w:rFonts w:ascii="Arial" w:hAnsi="Arial" w:cs="Arial"/>
              <w:sz w:val="18"/>
              <w:szCs w:val="18"/>
            </w:rPr>
            <w:t xml:space="preserve">. </w:t>
          </w:r>
          <w:r w:rsidRPr="009362DC">
            <w:rPr>
              <w:rStyle w:val="dn"/>
              <w:rFonts w:ascii="Arial" w:hAnsi="Arial" w:cs="Arial"/>
              <w:sz w:val="18"/>
              <w:szCs w:val="18"/>
              <w:lang w:val="cs-CZ"/>
            </w:rPr>
            <w:t>Navštivte také náš</w:t>
          </w:r>
          <w:r w:rsidRPr="00BB48AE">
            <w:rPr>
              <w:rStyle w:val="dn"/>
              <w:rFonts w:ascii="Arial" w:hAnsi="Arial" w:cs="Arial"/>
              <w:sz w:val="18"/>
              <w:szCs w:val="18"/>
            </w:rPr>
            <w:t xml:space="preserve"> </w:t>
          </w:r>
          <w:hyperlink r:id="rId12" w:history="1">
            <w:r w:rsidRPr="00BB48AE">
              <w:rPr>
                <w:rStyle w:val="Hypertextovodkaz"/>
                <w:rFonts w:ascii="Arial" w:hAnsi="Arial" w:cs="Arial"/>
                <w:color w:val="FF0000"/>
                <w:sz w:val="18"/>
                <w:szCs w:val="18"/>
              </w:rPr>
              <w:t>Facebook</w:t>
            </w:r>
          </w:hyperlink>
          <w:r w:rsidRPr="00BB48AE">
            <w:rPr>
              <w:rStyle w:val="dn"/>
              <w:rFonts w:ascii="Arial" w:hAnsi="Arial" w:cs="Arial"/>
              <w:color w:val="FF0000"/>
              <w:sz w:val="18"/>
              <w:szCs w:val="18"/>
            </w:rPr>
            <w:t xml:space="preserve"> </w:t>
          </w:r>
          <w:r w:rsidRPr="00BB48AE">
            <w:rPr>
              <w:rStyle w:val="dn"/>
              <w:rFonts w:ascii="Arial" w:hAnsi="Arial" w:cs="Arial"/>
              <w:sz w:val="18"/>
              <w:szCs w:val="18"/>
            </w:rPr>
            <w:t xml:space="preserve">a </w:t>
          </w:r>
          <w:hyperlink r:id="rId13" w:history="1">
            <w:r w:rsidRPr="00BB48AE">
              <w:rPr>
                <w:rStyle w:val="Hypertextovodkaz"/>
                <w:rFonts w:ascii="Arial" w:hAnsi="Arial" w:cs="Arial"/>
                <w:color w:val="FF0000"/>
                <w:sz w:val="18"/>
                <w:szCs w:val="18"/>
              </w:rPr>
              <w:t>LinkedIN</w:t>
            </w:r>
          </w:hyperlink>
          <w:r w:rsidRPr="00BB48AE">
            <w:rPr>
              <w:rStyle w:val="dn"/>
              <w:rFonts w:ascii="Arial" w:hAnsi="Arial" w:cs="Arial"/>
              <w:sz w:val="18"/>
              <w:szCs w:val="18"/>
            </w:rPr>
            <w:t xml:space="preserve"> Broker Consulting a </w:t>
          </w:r>
          <w:hyperlink r:id="rId14" w:history="1">
            <w:r w:rsidRPr="00BB48AE">
              <w:rPr>
                <w:rStyle w:val="Hypertextovodkaz"/>
                <w:rFonts w:ascii="Arial" w:hAnsi="Arial" w:cs="Arial"/>
                <w:color w:val="FF0000"/>
                <w:sz w:val="18"/>
                <w:szCs w:val="18"/>
              </w:rPr>
              <w:t>Facebook</w:t>
            </w:r>
          </w:hyperlink>
          <w:r w:rsidRPr="00BB48AE">
            <w:rPr>
              <w:rStyle w:val="dn"/>
              <w:rFonts w:ascii="Arial" w:hAnsi="Arial" w:cs="Arial"/>
              <w:color w:val="FF0000"/>
              <w:sz w:val="18"/>
              <w:szCs w:val="18"/>
            </w:rPr>
            <w:t xml:space="preserve"> </w:t>
          </w:r>
          <w:r w:rsidRPr="00BB48AE">
            <w:rPr>
              <w:rStyle w:val="dn"/>
              <w:rFonts w:ascii="Arial" w:hAnsi="Arial" w:cs="Arial"/>
              <w:sz w:val="18"/>
              <w:szCs w:val="18"/>
            </w:rPr>
            <w:t xml:space="preserve">a </w:t>
          </w:r>
          <w:hyperlink r:id="rId15" w:history="1">
            <w:r w:rsidRPr="00BB48AE">
              <w:rPr>
                <w:rStyle w:val="Hypertextovodkaz"/>
                <w:rFonts w:ascii="Arial" w:hAnsi="Arial" w:cs="Arial"/>
                <w:color w:val="FF0000"/>
                <w:sz w:val="18"/>
                <w:szCs w:val="18"/>
              </w:rPr>
              <w:t>LinkedI</w:t>
            </w:r>
          </w:hyperlink>
          <w:r>
            <w:rPr>
              <w:rStyle w:val="Hypertextovodkaz"/>
              <w:rFonts w:ascii="Arial" w:hAnsi="Arial" w:cs="Arial"/>
              <w:color w:val="FF0000"/>
              <w:sz w:val="18"/>
              <w:szCs w:val="18"/>
            </w:rPr>
            <w:t>N</w:t>
          </w:r>
          <w:r w:rsidRPr="00BB48AE">
            <w:rPr>
              <w:rStyle w:val="dn"/>
              <w:rFonts w:ascii="Arial" w:hAnsi="Arial" w:cs="Arial"/>
              <w:color w:val="FF0000"/>
              <w:sz w:val="18"/>
              <w:szCs w:val="18"/>
            </w:rPr>
            <w:t xml:space="preserve"> </w:t>
          </w:r>
          <w:r w:rsidRPr="00BB48AE">
            <w:rPr>
              <w:rStyle w:val="dn"/>
              <w:rFonts w:ascii="Arial" w:hAnsi="Arial" w:cs="Arial"/>
              <w:sz w:val="18"/>
              <w:szCs w:val="18"/>
            </w:rPr>
            <w:t xml:space="preserve">OK POINTů. </w:t>
          </w:r>
          <w:r w:rsidR="00D80B6D" w:rsidRPr="006E3520">
            <w:rPr>
              <w:rFonts w:ascii="Arial" w:hAnsi="Arial" w:cs="Arial"/>
              <w:sz w:val="20"/>
            </w:rPr>
            <w:t xml:space="preserve"> </w:t>
          </w:r>
        </w:p>
        <w:p w14:paraId="4E6E9D29" w14:textId="77777777" w:rsidR="00D80B6D" w:rsidRDefault="00D80B6D" w:rsidP="00D80B6D">
          <w:pPr>
            <w:rPr>
              <w:rFonts w:ascii="F015TEE"/>
            </w:rPr>
            <w:sectPr w:rsidR="00D80B6D" w:rsidSect="00C85AB7">
              <w:headerReference w:type="default" r:id="rId16"/>
              <w:footerReference w:type="default" r:id="rId17"/>
              <w:pgSz w:w="11910" w:h="16840"/>
              <w:pgMar w:top="960" w:right="711" w:bottom="0" w:left="720" w:header="708" w:footer="708" w:gutter="0"/>
              <w:cols w:space="708"/>
            </w:sectPr>
          </w:pPr>
        </w:p>
        <w:p w14:paraId="049013F3" w14:textId="77777777" w:rsidR="00D31127" w:rsidRPr="00D80B6D" w:rsidRDefault="00DA78FC" w:rsidP="0025264B">
          <w:pPr>
            <w:rPr>
              <w:rFonts w:ascii="Arial" w:hAnsi="Arial" w:cs="Arial"/>
              <w:b/>
              <w:sz w:val="20"/>
              <w:szCs w:val="20"/>
            </w:rPr>
            <w:sectPr w:rsidR="00D31127" w:rsidRPr="00D80B6D" w:rsidSect="00D80B6D">
              <w:headerReference w:type="even" r:id="rId18"/>
              <w:headerReference w:type="default" r:id="rId19"/>
              <w:footerReference w:type="even" r:id="rId20"/>
              <w:footerReference w:type="default" r:id="rId21"/>
              <w:headerReference w:type="first" r:id="rId22"/>
              <w:footerReference w:type="first" r:id="rId23"/>
              <w:pgSz w:w="11910" w:h="16840"/>
              <w:pgMar w:top="1418" w:right="740" w:bottom="420" w:left="720" w:header="340" w:footer="223" w:gutter="0"/>
              <w:pgNumType w:start="0"/>
              <w:cols w:space="708"/>
              <w:titlePg/>
              <w:docGrid w:linePitch="299"/>
            </w:sectPr>
          </w:pPr>
        </w:p>
      </w:sdtContent>
    </w:sdt>
    <w:p w14:paraId="5A0592DB" w14:textId="5DF8365E" w:rsidR="00A672EA" w:rsidRPr="00305EA9" w:rsidRDefault="00A672EA" w:rsidP="001B5A35">
      <w:pPr>
        <w:jc w:val="center"/>
        <w:rPr>
          <w:rFonts w:ascii="Arial" w:hAnsi="Arial" w:cs="Arial"/>
          <w:b/>
          <w:sz w:val="32"/>
          <w:szCs w:val="32"/>
        </w:rPr>
      </w:pPr>
    </w:p>
    <w:p w14:paraId="29B66E60" w14:textId="523E3A8E" w:rsidR="004336FA" w:rsidRPr="00814698" w:rsidRDefault="00814698" w:rsidP="001449CB">
      <w:pPr>
        <w:jc w:val="center"/>
        <w:rPr>
          <w:rFonts w:ascii="Arial" w:hAnsi="Arial" w:cs="Arial"/>
          <w:b/>
          <w:sz w:val="28"/>
          <w:szCs w:val="28"/>
        </w:rPr>
      </w:pPr>
      <w:r w:rsidRPr="00814698">
        <w:rPr>
          <w:rFonts w:ascii="Arial" w:hAnsi="Arial" w:cs="Arial"/>
          <w:b/>
          <w:sz w:val="28"/>
          <w:szCs w:val="28"/>
        </w:rPr>
        <w:t>Povinné ručení dál zdražuje. V lednu</w:t>
      </w:r>
      <w:r w:rsidR="009F0FAC" w:rsidRPr="00814698">
        <w:rPr>
          <w:rFonts w:ascii="Arial" w:hAnsi="Arial" w:cs="Arial"/>
          <w:b/>
          <w:sz w:val="28"/>
          <w:szCs w:val="28"/>
        </w:rPr>
        <w:t xml:space="preserve"> </w:t>
      </w:r>
      <w:r>
        <w:rPr>
          <w:rFonts w:ascii="Arial" w:hAnsi="Arial" w:cs="Arial"/>
          <w:b/>
          <w:sz w:val="28"/>
          <w:szCs w:val="28"/>
        </w:rPr>
        <w:t xml:space="preserve">hodnota </w:t>
      </w:r>
      <w:r w:rsidR="009F0FAC" w:rsidRPr="00814698">
        <w:rPr>
          <w:rFonts w:ascii="Arial" w:hAnsi="Arial" w:cs="Arial"/>
          <w:b/>
          <w:sz w:val="28"/>
          <w:szCs w:val="28"/>
        </w:rPr>
        <w:t xml:space="preserve">POVIndexu </w:t>
      </w:r>
      <w:r>
        <w:rPr>
          <w:rFonts w:ascii="Arial" w:hAnsi="Arial" w:cs="Arial"/>
          <w:b/>
          <w:sz w:val="28"/>
          <w:szCs w:val="28"/>
        </w:rPr>
        <w:t>vzrostla o 59 korun</w:t>
      </w:r>
      <w:r w:rsidRPr="00814698">
        <w:rPr>
          <w:rFonts w:ascii="Arial" w:hAnsi="Arial" w:cs="Arial"/>
          <w:b/>
          <w:sz w:val="28"/>
          <w:szCs w:val="28"/>
        </w:rPr>
        <w:t xml:space="preserve"> </w:t>
      </w:r>
      <w:r w:rsidR="009F0FAC" w:rsidRPr="00814698">
        <w:rPr>
          <w:rFonts w:ascii="Arial" w:hAnsi="Arial" w:cs="Arial"/>
          <w:b/>
          <w:sz w:val="28"/>
          <w:szCs w:val="28"/>
        </w:rPr>
        <w:t>na 6</w:t>
      </w:r>
      <w:r w:rsidRPr="00814698">
        <w:rPr>
          <w:rFonts w:ascii="Arial" w:hAnsi="Arial" w:cs="Arial"/>
          <w:b/>
          <w:sz w:val="28"/>
          <w:szCs w:val="28"/>
        </w:rPr>
        <w:t xml:space="preserve"> 522</w:t>
      </w:r>
      <w:r w:rsidR="009F0FAC" w:rsidRPr="00814698">
        <w:rPr>
          <w:rFonts w:ascii="Arial" w:hAnsi="Arial" w:cs="Arial"/>
          <w:b/>
          <w:sz w:val="28"/>
          <w:szCs w:val="28"/>
        </w:rPr>
        <w:t xml:space="preserve"> korun </w:t>
      </w:r>
    </w:p>
    <w:p w14:paraId="69FC3C71" w14:textId="77777777" w:rsidR="00836DF0" w:rsidRPr="00255E96" w:rsidRDefault="00836DF0" w:rsidP="00B7285B">
      <w:pPr>
        <w:rPr>
          <w:rFonts w:ascii="Arial" w:hAnsi="Arial" w:cs="Arial"/>
          <w:b/>
          <w:sz w:val="20"/>
          <w:szCs w:val="20"/>
        </w:rPr>
      </w:pPr>
    </w:p>
    <w:p w14:paraId="5FC32DDE" w14:textId="77777777" w:rsidR="00A75581" w:rsidRDefault="00A75581" w:rsidP="00255E96">
      <w:pPr>
        <w:jc w:val="both"/>
        <w:rPr>
          <w:rFonts w:ascii="Arial" w:hAnsi="Arial" w:cs="Arial"/>
          <w:i/>
          <w:sz w:val="20"/>
          <w:szCs w:val="20"/>
        </w:rPr>
      </w:pPr>
    </w:p>
    <w:p w14:paraId="1EF30706" w14:textId="48D85553" w:rsidR="006620C8" w:rsidRDefault="00DA6D6A" w:rsidP="006620C8">
      <w:pPr>
        <w:jc w:val="both"/>
        <w:rPr>
          <w:rFonts w:ascii="Arial" w:hAnsi="Arial" w:cs="Arial"/>
          <w:b/>
          <w:color w:val="000000" w:themeColor="text1"/>
          <w:sz w:val="20"/>
          <w:szCs w:val="20"/>
        </w:rPr>
      </w:pPr>
      <w:r>
        <w:rPr>
          <w:rFonts w:ascii="Arial" w:hAnsi="Arial" w:cs="Arial"/>
          <w:i/>
          <w:sz w:val="20"/>
          <w:szCs w:val="20"/>
        </w:rPr>
        <w:t xml:space="preserve">Praha, </w:t>
      </w:r>
      <w:r w:rsidR="00152EDC">
        <w:rPr>
          <w:rFonts w:ascii="Arial" w:hAnsi="Arial" w:cs="Arial"/>
          <w:i/>
          <w:sz w:val="20"/>
          <w:szCs w:val="20"/>
        </w:rPr>
        <w:t>21</w:t>
      </w:r>
      <w:bookmarkStart w:id="0" w:name="_GoBack"/>
      <w:bookmarkEnd w:id="0"/>
      <w:r w:rsidR="0004010D" w:rsidRPr="006863D8">
        <w:rPr>
          <w:rFonts w:ascii="Arial" w:hAnsi="Arial" w:cs="Arial"/>
          <w:i/>
          <w:sz w:val="20"/>
          <w:szCs w:val="20"/>
        </w:rPr>
        <w:t xml:space="preserve">. </w:t>
      </w:r>
      <w:r w:rsidR="00814698">
        <w:rPr>
          <w:rFonts w:ascii="Arial" w:hAnsi="Arial" w:cs="Arial"/>
          <w:i/>
          <w:sz w:val="20"/>
          <w:szCs w:val="20"/>
        </w:rPr>
        <w:t>února</w:t>
      </w:r>
      <w:r>
        <w:rPr>
          <w:rFonts w:ascii="Arial" w:hAnsi="Arial" w:cs="Arial"/>
          <w:i/>
          <w:sz w:val="20"/>
          <w:szCs w:val="20"/>
        </w:rPr>
        <w:t xml:space="preserve"> 2022</w:t>
      </w:r>
      <w:r w:rsidR="0004010D" w:rsidRPr="0018139F">
        <w:rPr>
          <w:rFonts w:ascii="Arial" w:hAnsi="Arial" w:cs="Arial"/>
          <w:color w:val="000000" w:themeColor="text1"/>
          <w:sz w:val="20"/>
          <w:szCs w:val="20"/>
        </w:rPr>
        <w:t xml:space="preserve"> </w:t>
      </w:r>
      <w:r w:rsidR="0004010D">
        <w:rPr>
          <w:rFonts w:ascii="Arial" w:hAnsi="Arial" w:cs="Arial"/>
          <w:color w:val="000000" w:themeColor="text1"/>
          <w:sz w:val="20"/>
          <w:szCs w:val="20"/>
        </w:rPr>
        <w:t>–</w:t>
      </w:r>
      <w:r w:rsidR="0004010D">
        <w:rPr>
          <w:rFonts w:ascii="Arial" w:hAnsi="Arial" w:cs="Arial"/>
          <w:b/>
          <w:color w:val="000000" w:themeColor="text1"/>
          <w:sz w:val="20"/>
          <w:szCs w:val="20"/>
        </w:rPr>
        <w:t xml:space="preserve"> </w:t>
      </w:r>
      <w:r w:rsidR="006620C8">
        <w:rPr>
          <w:rFonts w:ascii="Arial" w:hAnsi="Arial" w:cs="Arial"/>
          <w:b/>
          <w:color w:val="000000" w:themeColor="text1"/>
          <w:sz w:val="20"/>
          <w:szCs w:val="20"/>
        </w:rPr>
        <w:t xml:space="preserve">Ceny pojištění odpovědnosti z provozu vozidla rostly v lednu </w:t>
      </w:r>
      <w:r w:rsidR="00A80A8B">
        <w:rPr>
          <w:rFonts w:ascii="Arial" w:hAnsi="Arial" w:cs="Arial"/>
          <w:b/>
          <w:color w:val="000000" w:themeColor="text1"/>
          <w:sz w:val="20"/>
          <w:szCs w:val="20"/>
        </w:rPr>
        <w:t xml:space="preserve">ještě </w:t>
      </w:r>
      <w:r w:rsidR="006620C8">
        <w:rPr>
          <w:rFonts w:ascii="Arial" w:hAnsi="Arial" w:cs="Arial"/>
          <w:b/>
          <w:color w:val="000000" w:themeColor="text1"/>
          <w:sz w:val="20"/>
          <w:szCs w:val="20"/>
        </w:rPr>
        <w:t xml:space="preserve">rychleji než v prosinci. Podle dat Broker Consulting POVIndexu </w:t>
      </w:r>
      <w:r w:rsidR="000705A5">
        <w:rPr>
          <w:rFonts w:ascii="Arial" w:hAnsi="Arial" w:cs="Arial"/>
          <w:b/>
          <w:color w:val="000000" w:themeColor="text1"/>
          <w:sz w:val="20"/>
          <w:szCs w:val="20"/>
        </w:rPr>
        <w:t>se</w:t>
      </w:r>
      <w:r w:rsidR="006620C8">
        <w:rPr>
          <w:rFonts w:ascii="Arial" w:hAnsi="Arial" w:cs="Arial"/>
          <w:b/>
          <w:color w:val="000000" w:themeColor="text1"/>
          <w:sz w:val="20"/>
          <w:szCs w:val="20"/>
        </w:rPr>
        <w:t xml:space="preserve"> meziměsíčně </w:t>
      </w:r>
      <w:r w:rsidR="000705A5">
        <w:rPr>
          <w:rFonts w:ascii="Arial" w:hAnsi="Arial" w:cs="Arial"/>
          <w:b/>
          <w:color w:val="000000" w:themeColor="text1"/>
          <w:sz w:val="20"/>
          <w:szCs w:val="20"/>
        </w:rPr>
        <w:t xml:space="preserve">zvýšily </w:t>
      </w:r>
      <w:r w:rsidR="006620C8">
        <w:rPr>
          <w:rFonts w:ascii="Arial" w:hAnsi="Arial" w:cs="Arial"/>
          <w:b/>
          <w:color w:val="000000" w:themeColor="text1"/>
          <w:sz w:val="20"/>
          <w:szCs w:val="20"/>
        </w:rPr>
        <w:t xml:space="preserve">o 59 korun na 6 522 korun, což odpovídá téměř jednoprocentnímu nárůstu. </w:t>
      </w:r>
      <w:r w:rsidR="000705A5">
        <w:rPr>
          <w:rFonts w:ascii="Arial" w:hAnsi="Arial" w:cs="Arial"/>
          <w:b/>
          <w:color w:val="000000" w:themeColor="text1"/>
          <w:sz w:val="20"/>
          <w:szCs w:val="20"/>
        </w:rPr>
        <w:t xml:space="preserve">Odborníci odhadují, že v podobném </w:t>
      </w:r>
      <w:r w:rsidR="000C74BD">
        <w:rPr>
          <w:rFonts w:ascii="Arial" w:hAnsi="Arial" w:cs="Arial"/>
          <w:b/>
          <w:color w:val="000000" w:themeColor="text1"/>
          <w:sz w:val="20"/>
          <w:szCs w:val="20"/>
        </w:rPr>
        <w:t>tempu</w:t>
      </w:r>
      <w:r w:rsidR="000705A5">
        <w:rPr>
          <w:rFonts w:ascii="Arial" w:hAnsi="Arial" w:cs="Arial"/>
          <w:b/>
          <w:color w:val="000000" w:themeColor="text1"/>
          <w:sz w:val="20"/>
          <w:szCs w:val="20"/>
        </w:rPr>
        <w:t xml:space="preserve"> se budou ceny odvíjet</w:t>
      </w:r>
      <w:r w:rsidR="00A80A8B">
        <w:rPr>
          <w:rFonts w:ascii="Arial" w:hAnsi="Arial" w:cs="Arial"/>
          <w:b/>
          <w:color w:val="000000" w:themeColor="text1"/>
          <w:sz w:val="20"/>
          <w:szCs w:val="20"/>
        </w:rPr>
        <w:t xml:space="preserve"> i v dalších měsících s ohledem</w:t>
      </w:r>
      <w:r w:rsidR="000C74BD">
        <w:rPr>
          <w:rFonts w:ascii="Arial" w:hAnsi="Arial" w:cs="Arial"/>
          <w:b/>
          <w:color w:val="000000" w:themeColor="text1"/>
          <w:sz w:val="20"/>
          <w:szCs w:val="20"/>
        </w:rPr>
        <w:t xml:space="preserve"> </w:t>
      </w:r>
      <w:r w:rsidR="00A80A8B">
        <w:rPr>
          <w:rFonts w:ascii="Arial" w:hAnsi="Arial" w:cs="Arial"/>
          <w:b/>
          <w:color w:val="000000" w:themeColor="text1"/>
          <w:sz w:val="20"/>
          <w:szCs w:val="20"/>
        </w:rPr>
        <w:t xml:space="preserve">jednak </w:t>
      </w:r>
      <w:r w:rsidR="000705A5">
        <w:rPr>
          <w:rFonts w:ascii="Arial" w:hAnsi="Arial" w:cs="Arial"/>
          <w:b/>
          <w:color w:val="000000" w:themeColor="text1"/>
          <w:sz w:val="20"/>
          <w:szCs w:val="20"/>
        </w:rPr>
        <w:t xml:space="preserve">na </w:t>
      </w:r>
      <w:r w:rsidR="00A80A8B">
        <w:rPr>
          <w:rFonts w:ascii="Arial" w:hAnsi="Arial" w:cs="Arial"/>
          <w:b/>
          <w:color w:val="000000" w:themeColor="text1"/>
          <w:sz w:val="20"/>
          <w:szCs w:val="20"/>
        </w:rPr>
        <w:t>rekordně rostoucí inflaci, a jednak</w:t>
      </w:r>
      <w:r w:rsidR="000705A5">
        <w:rPr>
          <w:rFonts w:ascii="Arial" w:hAnsi="Arial" w:cs="Arial"/>
          <w:b/>
          <w:color w:val="000000" w:themeColor="text1"/>
          <w:sz w:val="20"/>
          <w:szCs w:val="20"/>
        </w:rPr>
        <w:t xml:space="preserve"> na vyšší vyplácené škody u nehod </w:t>
      </w:r>
      <w:r w:rsidR="000C74BD">
        <w:rPr>
          <w:rFonts w:ascii="Arial" w:hAnsi="Arial" w:cs="Arial"/>
          <w:b/>
          <w:color w:val="000000" w:themeColor="text1"/>
          <w:sz w:val="20"/>
          <w:szCs w:val="20"/>
        </w:rPr>
        <w:t>i</w:t>
      </w:r>
      <w:r w:rsidR="000705A5">
        <w:rPr>
          <w:rFonts w:ascii="Arial" w:hAnsi="Arial" w:cs="Arial"/>
          <w:b/>
          <w:color w:val="000000" w:themeColor="text1"/>
          <w:sz w:val="20"/>
          <w:szCs w:val="20"/>
        </w:rPr>
        <w:t xml:space="preserve"> </w:t>
      </w:r>
      <w:r w:rsidR="000C74BD">
        <w:rPr>
          <w:rFonts w:ascii="Arial" w:hAnsi="Arial" w:cs="Arial"/>
          <w:b/>
          <w:color w:val="000000" w:themeColor="text1"/>
          <w:sz w:val="20"/>
          <w:szCs w:val="20"/>
        </w:rPr>
        <w:t>vyšší</w:t>
      </w:r>
      <w:r w:rsidR="000705A5">
        <w:rPr>
          <w:rFonts w:ascii="Arial" w:hAnsi="Arial" w:cs="Arial"/>
          <w:b/>
          <w:color w:val="000000" w:themeColor="text1"/>
          <w:sz w:val="20"/>
          <w:szCs w:val="20"/>
        </w:rPr>
        <w:t xml:space="preserve"> </w:t>
      </w:r>
      <w:r w:rsidR="000C74BD">
        <w:rPr>
          <w:rFonts w:ascii="Arial" w:hAnsi="Arial" w:cs="Arial"/>
          <w:b/>
          <w:color w:val="000000" w:themeColor="text1"/>
          <w:sz w:val="20"/>
          <w:szCs w:val="20"/>
        </w:rPr>
        <w:t xml:space="preserve">částky za prodávaná vozidla. </w:t>
      </w:r>
    </w:p>
    <w:p w14:paraId="7AB453BA" w14:textId="72FD0C8A" w:rsidR="0088428C" w:rsidRDefault="0088428C" w:rsidP="006620C8">
      <w:pPr>
        <w:jc w:val="both"/>
        <w:rPr>
          <w:rFonts w:ascii="Arial" w:hAnsi="Arial" w:cs="Arial"/>
          <w:b/>
          <w:color w:val="000000" w:themeColor="text1"/>
          <w:sz w:val="20"/>
          <w:szCs w:val="20"/>
        </w:rPr>
      </w:pPr>
    </w:p>
    <w:p w14:paraId="2BFA88E3" w14:textId="3E1FD7A9" w:rsidR="0088428C" w:rsidRDefault="0088428C" w:rsidP="0088428C">
      <w:pPr>
        <w:jc w:val="both"/>
        <w:rPr>
          <w:rFonts w:ascii="Arial" w:hAnsi="Arial" w:cs="Arial"/>
          <w:bCs/>
          <w:color w:val="000000" w:themeColor="text1"/>
          <w:sz w:val="20"/>
          <w:szCs w:val="20"/>
        </w:rPr>
      </w:pPr>
      <w:r w:rsidRPr="0088428C">
        <w:rPr>
          <w:rFonts w:ascii="Arial" w:hAnsi="Arial" w:cs="Arial"/>
          <w:i/>
          <w:color w:val="000000" w:themeColor="text1"/>
          <w:sz w:val="20"/>
          <w:szCs w:val="20"/>
        </w:rPr>
        <w:t xml:space="preserve">„Povinné ručení vyjde letos řidiče o něco </w:t>
      </w:r>
      <w:r>
        <w:rPr>
          <w:rFonts w:ascii="Arial" w:hAnsi="Arial" w:cs="Arial"/>
          <w:i/>
          <w:color w:val="000000" w:themeColor="text1"/>
          <w:sz w:val="20"/>
          <w:szCs w:val="20"/>
        </w:rPr>
        <w:t>dráž, odhaduji zhruba o 6 až 7 procent</w:t>
      </w:r>
      <w:r w:rsidRPr="0088428C">
        <w:rPr>
          <w:rFonts w:ascii="Arial" w:hAnsi="Arial" w:cs="Arial"/>
          <w:i/>
          <w:color w:val="000000" w:themeColor="text1"/>
          <w:sz w:val="20"/>
          <w:szCs w:val="20"/>
        </w:rPr>
        <w:t xml:space="preserve">. Vedle bleskově rostoucí inflace je za tím třeba vidět i rostoucí finanční náročnost škod. </w:t>
      </w:r>
      <w:r w:rsidR="00A35204">
        <w:rPr>
          <w:rFonts w:ascii="Arial" w:hAnsi="Arial" w:cs="Arial"/>
          <w:bCs/>
          <w:i/>
          <w:color w:val="000000" w:themeColor="text1"/>
          <w:sz w:val="20"/>
          <w:szCs w:val="20"/>
        </w:rPr>
        <w:t xml:space="preserve">Vedle </w:t>
      </w:r>
      <w:r w:rsidRPr="0088428C">
        <w:rPr>
          <w:rFonts w:ascii="Arial" w:hAnsi="Arial" w:cs="Arial"/>
          <w:bCs/>
          <w:i/>
          <w:color w:val="000000" w:themeColor="text1"/>
          <w:sz w:val="20"/>
          <w:szCs w:val="20"/>
        </w:rPr>
        <w:t>škod spojených s náklady na opravu vozidel nesmíme zapomínat na škody na zdraví, ztráty na výdělku, náklady následné péče a podobně.</w:t>
      </w:r>
      <w:r w:rsidR="00A35204">
        <w:rPr>
          <w:rFonts w:ascii="Arial" w:hAnsi="Arial" w:cs="Arial"/>
          <w:bCs/>
          <w:i/>
          <w:color w:val="000000" w:themeColor="text1"/>
          <w:sz w:val="20"/>
          <w:szCs w:val="20"/>
        </w:rPr>
        <w:t xml:space="preserve"> Všechny t</w:t>
      </w:r>
      <w:r w:rsidRPr="0088428C">
        <w:rPr>
          <w:rFonts w:ascii="Arial" w:hAnsi="Arial" w:cs="Arial"/>
          <w:bCs/>
          <w:i/>
          <w:color w:val="000000" w:themeColor="text1"/>
          <w:sz w:val="20"/>
          <w:szCs w:val="20"/>
        </w:rPr>
        <w:t xml:space="preserve">yto náklady samozřejmě také podléhají vývoji cen. Je tedy nutné, aby pojistné </w:t>
      </w:r>
      <w:r>
        <w:rPr>
          <w:rFonts w:ascii="Arial" w:hAnsi="Arial" w:cs="Arial"/>
          <w:bCs/>
          <w:i/>
          <w:color w:val="000000" w:themeColor="text1"/>
          <w:sz w:val="20"/>
          <w:szCs w:val="20"/>
        </w:rPr>
        <w:t xml:space="preserve">zohledňovalo i </w:t>
      </w:r>
      <w:r w:rsidRPr="0088428C">
        <w:rPr>
          <w:rFonts w:ascii="Arial" w:hAnsi="Arial" w:cs="Arial"/>
          <w:bCs/>
          <w:i/>
          <w:color w:val="000000" w:themeColor="text1"/>
          <w:sz w:val="20"/>
          <w:szCs w:val="20"/>
        </w:rPr>
        <w:t>tyto dlouhodobé a v konečné výši dopředu nejisté závazky,“</w:t>
      </w:r>
      <w:r>
        <w:rPr>
          <w:rFonts w:ascii="Arial" w:hAnsi="Arial" w:cs="Arial"/>
          <w:bCs/>
          <w:color w:val="000000" w:themeColor="text1"/>
          <w:sz w:val="20"/>
          <w:szCs w:val="20"/>
        </w:rPr>
        <w:t xml:space="preserve"> upozorňuje </w:t>
      </w:r>
      <w:r w:rsidRPr="0088428C">
        <w:rPr>
          <w:rFonts w:ascii="Arial" w:hAnsi="Arial" w:cs="Arial"/>
          <w:b/>
          <w:bCs/>
          <w:color w:val="000000" w:themeColor="text1"/>
          <w:sz w:val="20"/>
          <w:szCs w:val="20"/>
        </w:rPr>
        <w:t>Jiří Váchal, analytik neživotního pojištění společnosti Broker Consulting</w:t>
      </w:r>
      <w:r>
        <w:rPr>
          <w:rFonts w:ascii="Arial" w:hAnsi="Arial" w:cs="Arial"/>
          <w:bCs/>
          <w:color w:val="000000" w:themeColor="text1"/>
          <w:sz w:val="20"/>
          <w:szCs w:val="20"/>
        </w:rPr>
        <w:t xml:space="preserve">. </w:t>
      </w:r>
    </w:p>
    <w:p w14:paraId="70D701A4" w14:textId="2C6D1F64" w:rsidR="0088428C" w:rsidRDefault="0088428C" w:rsidP="006620C8">
      <w:pPr>
        <w:jc w:val="both"/>
        <w:rPr>
          <w:rFonts w:ascii="Arial" w:hAnsi="Arial" w:cs="Arial"/>
          <w:b/>
          <w:color w:val="000000" w:themeColor="text1"/>
          <w:sz w:val="20"/>
          <w:szCs w:val="20"/>
        </w:rPr>
      </w:pPr>
    </w:p>
    <w:p w14:paraId="68B09135" w14:textId="4C83DFA1" w:rsidR="006620C8" w:rsidRDefault="00D223BF" w:rsidP="006620C8">
      <w:pPr>
        <w:jc w:val="both"/>
        <w:rPr>
          <w:rFonts w:ascii="Arial" w:hAnsi="Arial" w:cs="Arial"/>
          <w:bCs/>
          <w:sz w:val="20"/>
          <w:szCs w:val="20"/>
        </w:rPr>
      </w:pPr>
      <w:r>
        <w:rPr>
          <w:rFonts w:ascii="Arial" w:hAnsi="Arial" w:cs="Arial"/>
          <w:bCs/>
          <w:sz w:val="20"/>
          <w:szCs w:val="20"/>
        </w:rPr>
        <w:t>C</w:t>
      </w:r>
      <w:r w:rsidRPr="000705A5">
        <w:rPr>
          <w:rFonts w:ascii="Arial" w:hAnsi="Arial" w:cs="Arial"/>
          <w:bCs/>
          <w:sz w:val="20"/>
          <w:szCs w:val="20"/>
        </w:rPr>
        <w:t xml:space="preserve">elkové škody z autonehod </w:t>
      </w:r>
      <w:r>
        <w:rPr>
          <w:rFonts w:ascii="Arial" w:hAnsi="Arial" w:cs="Arial"/>
          <w:bCs/>
          <w:sz w:val="20"/>
          <w:szCs w:val="20"/>
        </w:rPr>
        <w:t xml:space="preserve">se </w:t>
      </w:r>
      <w:r w:rsidR="00814698">
        <w:rPr>
          <w:rFonts w:ascii="Arial" w:hAnsi="Arial" w:cs="Arial"/>
          <w:bCs/>
          <w:sz w:val="20"/>
          <w:szCs w:val="20"/>
        </w:rPr>
        <w:t xml:space="preserve">v podstatě </w:t>
      </w:r>
      <w:r>
        <w:rPr>
          <w:rFonts w:ascii="Arial" w:hAnsi="Arial" w:cs="Arial"/>
          <w:bCs/>
          <w:sz w:val="20"/>
          <w:szCs w:val="20"/>
        </w:rPr>
        <w:t>už bě</w:t>
      </w:r>
      <w:r w:rsidRPr="000705A5">
        <w:rPr>
          <w:rFonts w:ascii="Arial" w:hAnsi="Arial" w:cs="Arial"/>
          <w:bCs/>
          <w:sz w:val="20"/>
          <w:szCs w:val="20"/>
        </w:rPr>
        <w:t xml:space="preserve">hem </w:t>
      </w:r>
      <w:r>
        <w:rPr>
          <w:rFonts w:ascii="Arial" w:hAnsi="Arial" w:cs="Arial"/>
          <w:bCs/>
          <w:sz w:val="20"/>
          <w:szCs w:val="20"/>
        </w:rPr>
        <w:t xml:space="preserve">loňského letního období </w:t>
      </w:r>
      <w:r w:rsidRPr="000705A5">
        <w:rPr>
          <w:rFonts w:ascii="Arial" w:hAnsi="Arial" w:cs="Arial"/>
          <w:bCs/>
          <w:sz w:val="20"/>
          <w:szCs w:val="20"/>
        </w:rPr>
        <w:t>vrátily na úroveň let</w:t>
      </w:r>
      <w:r>
        <w:rPr>
          <w:rFonts w:ascii="Arial" w:hAnsi="Arial" w:cs="Arial"/>
          <w:bCs/>
          <w:sz w:val="20"/>
          <w:szCs w:val="20"/>
        </w:rPr>
        <w:t xml:space="preserve"> před covidovou pandemií</w:t>
      </w:r>
      <w:r w:rsidRPr="000705A5">
        <w:rPr>
          <w:rFonts w:ascii="Arial" w:hAnsi="Arial" w:cs="Arial"/>
          <w:bCs/>
          <w:sz w:val="20"/>
          <w:szCs w:val="20"/>
        </w:rPr>
        <w:t xml:space="preserve">. Konkrétní dopad inflace </w:t>
      </w:r>
      <w:r>
        <w:rPr>
          <w:rFonts w:ascii="Arial" w:hAnsi="Arial" w:cs="Arial"/>
          <w:bCs/>
          <w:sz w:val="20"/>
          <w:szCs w:val="20"/>
        </w:rPr>
        <w:t>se v povinném ručení projevuje vyšší</w:t>
      </w:r>
      <w:r w:rsidRPr="000705A5">
        <w:rPr>
          <w:rFonts w:ascii="Arial" w:hAnsi="Arial" w:cs="Arial"/>
          <w:bCs/>
          <w:sz w:val="20"/>
          <w:szCs w:val="20"/>
        </w:rPr>
        <w:t xml:space="preserve"> cenou oprav a kompen</w:t>
      </w:r>
      <w:r>
        <w:rPr>
          <w:rFonts w:ascii="Arial" w:hAnsi="Arial" w:cs="Arial"/>
          <w:bCs/>
          <w:sz w:val="20"/>
          <w:szCs w:val="20"/>
        </w:rPr>
        <w:t xml:space="preserve">zací v případě „totálních škod“, které samozřejmě rostou s tím, jak roste cena vozidel. Nejen automobily </w:t>
      </w:r>
      <w:r w:rsidR="00A35204">
        <w:rPr>
          <w:rFonts w:ascii="Arial" w:hAnsi="Arial" w:cs="Arial"/>
          <w:bCs/>
          <w:sz w:val="20"/>
          <w:szCs w:val="20"/>
        </w:rPr>
        <w:t xml:space="preserve">ale </w:t>
      </w:r>
      <w:r>
        <w:rPr>
          <w:rFonts w:ascii="Arial" w:hAnsi="Arial" w:cs="Arial"/>
          <w:bCs/>
          <w:sz w:val="20"/>
          <w:szCs w:val="20"/>
        </w:rPr>
        <w:t>vyjdou letos dráž, roste i cena práce a především náklady na energie, které se negativně promítají do cen povinného ručení, ale i havarijního pojištění.</w:t>
      </w:r>
    </w:p>
    <w:p w14:paraId="2C8A03B7" w14:textId="45BD47D1" w:rsidR="00D223BF" w:rsidRDefault="00D223BF" w:rsidP="006620C8">
      <w:pPr>
        <w:jc w:val="both"/>
        <w:rPr>
          <w:rFonts w:ascii="Arial" w:hAnsi="Arial" w:cs="Arial"/>
          <w:bCs/>
          <w:sz w:val="20"/>
          <w:szCs w:val="20"/>
        </w:rPr>
      </w:pPr>
    </w:p>
    <w:p w14:paraId="0978E995" w14:textId="7A3E3E44" w:rsidR="00D223BF" w:rsidRDefault="00D223BF" w:rsidP="006620C8">
      <w:pPr>
        <w:jc w:val="both"/>
        <w:rPr>
          <w:rFonts w:ascii="Arial" w:hAnsi="Arial" w:cs="Arial"/>
          <w:bCs/>
          <w:color w:val="000000" w:themeColor="text1"/>
          <w:sz w:val="20"/>
          <w:szCs w:val="20"/>
        </w:rPr>
      </w:pPr>
      <w:r>
        <w:rPr>
          <w:rFonts w:ascii="Arial" w:hAnsi="Arial" w:cs="Arial"/>
          <w:bCs/>
          <w:sz w:val="20"/>
          <w:szCs w:val="20"/>
        </w:rPr>
        <w:t xml:space="preserve">Výrazněji si </w:t>
      </w:r>
      <w:r w:rsidR="00814698">
        <w:rPr>
          <w:rFonts w:ascii="Arial" w:hAnsi="Arial" w:cs="Arial"/>
          <w:bCs/>
          <w:sz w:val="20"/>
          <w:szCs w:val="20"/>
        </w:rPr>
        <w:t xml:space="preserve">letos </w:t>
      </w:r>
      <w:r>
        <w:rPr>
          <w:rFonts w:ascii="Arial" w:hAnsi="Arial" w:cs="Arial"/>
          <w:bCs/>
          <w:sz w:val="20"/>
          <w:szCs w:val="20"/>
        </w:rPr>
        <w:t>budou muset</w:t>
      </w:r>
      <w:r w:rsidR="00A35204">
        <w:rPr>
          <w:rFonts w:ascii="Arial" w:hAnsi="Arial" w:cs="Arial"/>
          <w:bCs/>
          <w:sz w:val="20"/>
          <w:szCs w:val="20"/>
        </w:rPr>
        <w:t xml:space="preserve"> za povinné ručení </w:t>
      </w:r>
      <w:r>
        <w:rPr>
          <w:rFonts w:ascii="Arial" w:hAnsi="Arial" w:cs="Arial"/>
          <w:bCs/>
          <w:sz w:val="20"/>
          <w:szCs w:val="20"/>
        </w:rPr>
        <w:t xml:space="preserve">připlatit rizikoví řidiči, tj. mladí řidiči </w:t>
      </w:r>
      <w:r w:rsidR="00C86EBC">
        <w:rPr>
          <w:rFonts w:ascii="Arial" w:hAnsi="Arial" w:cs="Arial"/>
          <w:bCs/>
          <w:color w:val="000000" w:themeColor="text1"/>
          <w:sz w:val="20"/>
          <w:szCs w:val="20"/>
        </w:rPr>
        <w:t>okolo</w:t>
      </w:r>
      <w:r>
        <w:rPr>
          <w:rFonts w:ascii="Arial" w:hAnsi="Arial" w:cs="Arial"/>
          <w:bCs/>
          <w:color w:val="000000" w:themeColor="text1"/>
          <w:sz w:val="20"/>
          <w:szCs w:val="20"/>
        </w:rPr>
        <w:t xml:space="preserve"> 18 let</w:t>
      </w:r>
      <w:r>
        <w:rPr>
          <w:rFonts w:ascii="Arial" w:hAnsi="Arial" w:cs="Arial"/>
          <w:bCs/>
          <w:sz w:val="20"/>
          <w:szCs w:val="20"/>
        </w:rPr>
        <w:t xml:space="preserve"> a řidiči s častější nehodovostí.</w:t>
      </w:r>
      <w:r w:rsidRPr="00A35204">
        <w:rPr>
          <w:rFonts w:ascii="Arial" w:hAnsi="Arial" w:cs="Arial"/>
          <w:bCs/>
          <w:i/>
          <w:sz w:val="20"/>
          <w:szCs w:val="20"/>
        </w:rPr>
        <w:t xml:space="preserve"> </w:t>
      </w:r>
      <w:r w:rsidR="00A35204" w:rsidRPr="00A35204">
        <w:rPr>
          <w:rFonts w:ascii="Arial" w:hAnsi="Arial" w:cs="Arial"/>
          <w:bCs/>
          <w:i/>
          <w:sz w:val="20"/>
          <w:szCs w:val="20"/>
        </w:rPr>
        <w:t>„Podle statistik bourá t</w:t>
      </w:r>
      <w:r w:rsidR="00A35204" w:rsidRPr="00A35204">
        <w:rPr>
          <w:rFonts w:ascii="Arial" w:hAnsi="Arial" w:cs="Arial"/>
          <w:bCs/>
          <w:i/>
          <w:color w:val="000000" w:themeColor="text1"/>
          <w:sz w:val="20"/>
          <w:szCs w:val="20"/>
        </w:rPr>
        <w:t xml:space="preserve">ato skupina </w:t>
      </w:r>
      <w:r w:rsidRPr="00A35204">
        <w:rPr>
          <w:rFonts w:ascii="Arial" w:hAnsi="Arial" w:cs="Arial"/>
          <w:bCs/>
          <w:i/>
          <w:color w:val="000000" w:themeColor="text1"/>
          <w:sz w:val="20"/>
          <w:szCs w:val="20"/>
        </w:rPr>
        <w:t xml:space="preserve">oproti průměrnému řidiči až pětkrát častěji. Zákonem stanovené limity pro újmy na zdraví a majetku jsou </w:t>
      </w:r>
      <w:r w:rsidR="00A35204" w:rsidRPr="00A35204">
        <w:rPr>
          <w:rFonts w:ascii="Arial" w:hAnsi="Arial" w:cs="Arial"/>
          <w:bCs/>
          <w:i/>
          <w:color w:val="000000" w:themeColor="text1"/>
          <w:sz w:val="20"/>
          <w:szCs w:val="20"/>
        </w:rPr>
        <w:t xml:space="preserve">už dnes </w:t>
      </w:r>
      <w:r w:rsidRPr="00A35204">
        <w:rPr>
          <w:rFonts w:ascii="Arial" w:hAnsi="Arial" w:cs="Arial"/>
          <w:bCs/>
          <w:i/>
          <w:color w:val="000000" w:themeColor="text1"/>
          <w:sz w:val="20"/>
          <w:szCs w:val="20"/>
        </w:rPr>
        <w:t xml:space="preserve">nedostačující. </w:t>
      </w:r>
      <w:r w:rsidR="00A35204" w:rsidRPr="00A35204">
        <w:rPr>
          <w:rFonts w:ascii="Arial" w:hAnsi="Arial" w:cs="Arial"/>
          <w:bCs/>
          <w:i/>
          <w:color w:val="000000" w:themeColor="text1"/>
          <w:sz w:val="20"/>
          <w:szCs w:val="20"/>
        </w:rPr>
        <w:t xml:space="preserve">V případě </w:t>
      </w:r>
      <w:r w:rsidR="00C86EBC">
        <w:rPr>
          <w:rFonts w:ascii="Arial" w:hAnsi="Arial" w:cs="Arial"/>
          <w:bCs/>
          <w:i/>
          <w:color w:val="000000" w:themeColor="text1"/>
          <w:sz w:val="20"/>
          <w:szCs w:val="20"/>
        </w:rPr>
        <w:t>nehody p</w:t>
      </w:r>
      <w:r w:rsidR="00A35204" w:rsidRPr="00A35204">
        <w:rPr>
          <w:rFonts w:ascii="Arial" w:hAnsi="Arial" w:cs="Arial"/>
          <w:bCs/>
          <w:i/>
          <w:color w:val="000000" w:themeColor="text1"/>
          <w:sz w:val="20"/>
          <w:szCs w:val="20"/>
        </w:rPr>
        <w:t>ak</w:t>
      </w:r>
      <w:r w:rsidRPr="00A35204">
        <w:rPr>
          <w:rFonts w:ascii="Arial" w:hAnsi="Arial" w:cs="Arial"/>
          <w:bCs/>
          <w:i/>
          <w:color w:val="000000" w:themeColor="text1"/>
          <w:sz w:val="20"/>
          <w:szCs w:val="20"/>
        </w:rPr>
        <w:t xml:space="preserve"> musí </w:t>
      </w:r>
      <w:r w:rsidR="00A35204" w:rsidRPr="00A35204">
        <w:rPr>
          <w:rFonts w:ascii="Arial" w:hAnsi="Arial" w:cs="Arial"/>
          <w:bCs/>
          <w:i/>
          <w:color w:val="000000" w:themeColor="text1"/>
          <w:sz w:val="20"/>
          <w:szCs w:val="20"/>
        </w:rPr>
        <w:t xml:space="preserve">její </w:t>
      </w:r>
      <w:r w:rsidRPr="00A35204">
        <w:rPr>
          <w:rFonts w:ascii="Arial" w:hAnsi="Arial" w:cs="Arial"/>
          <w:bCs/>
          <w:i/>
          <w:color w:val="000000" w:themeColor="text1"/>
          <w:sz w:val="20"/>
          <w:szCs w:val="20"/>
        </w:rPr>
        <w:t>viník rozdíl skutečnou škodou a mezi tím</w:t>
      </w:r>
      <w:r w:rsidR="00A35204" w:rsidRPr="00A35204">
        <w:rPr>
          <w:rFonts w:ascii="Arial" w:hAnsi="Arial" w:cs="Arial"/>
          <w:bCs/>
          <w:i/>
          <w:color w:val="000000" w:themeColor="text1"/>
          <w:sz w:val="20"/>
          <w:szCs w:val="20"/>
        </w:rPr>
        <w:t>,</w:t>
      </w:r>
      <w:r w:rsidRPr="00A35204">
        <w:rPr>
          <w:rFonts w:ascii="Arial" w:hAnsi="Arial" w:cs="Arial"/>
          <w:bCs/>
          <w:i/>
          <w:color w:val="000000" w:themeColor="text1"/>
          <w:sz w:val="20"/>
          <w:szCs w:val="20"/>
        </w:rPr>
        <w:t xml:space="preserve"> co vyplatí pojišťovna</w:t>
      </w:r>
      <w:r w:rsidR="00A35204" w:rsidRPr="00A35204">
        <w:rPr>
          <w:rFonts w:ascii="Arial" w:hAnsi="Arial" w:cs="Arial"/>
          <w:bCs/>
          <w:i/>
          <w:color w:val="000000" w:themeColor="text1"/>
          <w:sz w:val="20"/>
          <w:szCs w:val="20"/>
        </w:rPr>
        <w:t xml:space="preserve">, </w:t>
      </w:r>
      <w:r w:rsidRPr="00A35204">
        <w:rPr>
          <w:rFonts w:ascii="Arial" w:hAnsi="Arial" w:cs="Arial"/>
          <w:bCs/>
          <w:i/>
          <w:color w:val="000000" w:themeColor="text1"/>
          <w:sz w:val="20"/>
          <w:szCs w:val="20"/>
        </w:rPr>
        <w:t xml:space="preserve">doplatit </w:t>
      </w:r>
      <w:r w:rsidR="00A35204" w:rsidRPr="00A35204">
        <w:rPr>
          <w:rFonts w:ascii="Arial" w:hAnsi="Arial" w:cs="Arial"/>
          <w:bCs/>
          <w:i/>
          <w:color w:val="000000" w:themeColor="text1"/>
          <w:sz w:val="20"/>
          <w:szCs w:val="20"/>
        </w:rPr>
        <w:t xml:space="preserve">ze svého. Může jít až o </w:t>
      </w:r>
      <w:r w:rsidRPr="00A35204">
        <w:rPr>
          <w:rFonts w:ascii="Arial" w:hAnsi="Arial" w:cs="Arial"/>
          <w:bCs/>
          <w:i/>
          <w:color w:val="000000" w:themeColor="text1"/>
          <w:sz w:val="20"/>
          <w:szCs w:val="20"/>
        </w:rPr>
        <w:t xml:space="preserve">miliónové částky. </w:t>
      </w:r>
      <w:r w:rsidR="00A35204" w:rsidRPr="00A35204">
        <w:rPr>
          <w:rFonts w:ascii="Arial" w:hAnsi="Arial" w:cs="Arial"/>
          <w:bCs/>
          <w:i/>
          <w:color w:val="000000" w:themeColor="text1"/>
          <w:sz w:val="20"/>
          <w:szCs w:val="20"/>
        </w:rPr>
        <w:t xml:space="preserve">Přitom </w:t>
      </w:r>
      <w:r w:rsidRPr="00A35204">
        <w:rPr>
          <w:rFonts w:ascii="Arial" w:hAnsi="Arial" w:cs="Arial"/>
          <w:bCs/>
          <w:i/>
          <w:color w:val="000000" w:themeColor="text1"/>
          <w:sz w:val="20"/>
          <w:szCs w:val="20"/>
        </w:rPr>
        <w:t xml:space="preserve">rozdíl v cenách sjednání dostatečného limitu pojistného je často v desítkách, případně stokorunách korun </w:t>
      </w:r>
      <w:r w:rsidR="00A35204" w:rsidRPr="00A35204">
        <w:rPr>
          <w:rFonts w:ascii="Arial" w:hAnsi="Arial" w:cs="Arial"/>
          <w:bCs/>
          <w:i/>
          <w:color w:val="000000" w:themeColor="text1"/>
          <w:sz w:val="20"/>
          <w:szCs w:val="20"/>
        </w:rPr>
        <w:t>za</w:t>
      </w:r>
      <w:r w:rsidR="00C86EBC">
        <w:rPr>
          <w:rFonts w:ascii="Arial" w:hAnsi="Arial" w:cs="Arial"/>
          <w:bCs/>
          <w:i/>
          <w:color w:val="000000" w:themeColor="text1"/>
          <w:sz w:val="20"/>
          <w:szCs w:val="20"/>
        </w:rPr>
        <w:t xml:space="preserve"> celý</w:t>
      </w:r>
      <w:r w:rsidR="00A35204" w:rsidRPr="00A35204">
        <w:rPr>
          <w:rFonts w:ascii="Arial" w:hAnsi="Arial" w:cs="Arial"/>
          <w:bCs/>
          <w:i/>
          <w:color w:val="000000" w:themeColor="text1"/>
          <w:sz w:val="20"/>
          <w:szCs w:val="20"/>
        </w:rPr>
        <w:t xml:space="preserve"> rok,“</w:t>
      </w:r>
      <w:r w:rsidR="00A35204">
        <w:rPr>
          <w:rFonts w:ascii="Arial" w:hAnsi="Arial" w:cs="Arial"/>
          <w:bCs/>
          <w:color w:val="000000" w:themeColor="text1"/>
          <w:sz w:val="20"/>
          <w:szCs w:val="20"/>
        </w:rPr>
        <w:t xml:space="preserve"> upozorňuje na velký nepoměr Jiří Váchal. </w:t>
      </w:r>
      <w:r>
        <w:rPr>
          <w:rFonts w:ascii="Arial" w:hAnsi="Arial" w:cs="Arial"/>
          <w:bCs/>
          <w:color w:val="000000" w:themeColor="text1"/>
          <w:sz w:val="20"/>
          <w:szCs w:val="20"/>
        </w:rPr>
        <w:t xml:space="preserve"> </w:t>
      </w:r>
    </w:p>
    <w:p w14:paraId="472D92B8" w14:textId="3A626F0A" w:rsidR="00C86EBC" w:rsidRDefault="00C86EBC" w:rsidP="006620C8">
      <w:pPr>
        <w:jc w:val="both"/>
        <w:rPr>
          <w:rFonts w:ascii="Arial" w:hAnsi="Arial" w:cs="Arial"/>
          <w:bCs/>
          <w:color w:val="000000" w:themeColor="text1"/>
          <w:sz w:val="20"/>
          <w:szCs w:val="20"/>
        </w:rPr>
      </w:pPr>
    </w:p>
    <w:p w14:paraId="6645BE6D" w14:textId="65855CBF" w:rsidR="00C86EBC" w:rsidRPr="00C86EBC" w:rsidRDefault="00C86EBC" w:rsidP="00C86EBC">
      <w:pPr>
        <w:jc w:val="both"/>
        <w:rPr>
          <w:rFonts w:ascii="Arial" w:hAnsi="Arial" w:cs="Arial"/>
          <w:color w:val="000000" w:themeColor="text1"/>
          <w:sz w:val="20"/>
          <w:szCs w:val="20"/>
        </w:rPr>
      </w:pPr>
      <w:r w:rsidRPr="00C86EBC">
        <w:rPr>
          <w:rFonts w:ascii="Arial" w:hAnsi="Arial" w:cs="Arial"/>
          <w:color w:val="000000" w:themeColor="text1"/>
          <w:sz w:val="20"/>
          <w:szCs w:val="20"/>
        </w:rPr>
        <w:t>Broker Consulting POVIndex udává průměr cen za celou republiku, rozdíly jsou pak v průměrné výši v jednotlivých regionech. Řidiči v Praze zaplatili v</w:t>
      </w:r>
      <w:r>
        <w:rPr>
          <w:rFonts w:ascii="Arial" w:hAnsi="Arial" w:cs="Arial"/>
          <w:color w:val="000000" w:themeColor="text1"/>
          <w:sz w:val="20"/>
          <w:szCs w:val="20"/>
        </w:rPr>
        <w:t xml:space="preserve"> lednu</w:t>
      </w:r>
      <w:r w:rsidRPr="00C86EBC">
        <w:rPr>
          <w:rFonts w:ascii="Arial" w:hAnsi="Arial" w:cs="Arial"/>
          <w:color w:val="000000" w:themeColor="text1"/>
          <w:sz w:val="20"/>
          <w:szCs w:val="20"/>
        </w:rPr>
        <w:t xml:space="preserve"> za povinné ručení průměrně </w:t>
      </w:r>
      <w:r w:rsidR="000C74BD">
        <w:rPr>
          <w:rFonts w:ascii="Arial" w:hAnsi="Arial" w:cs="Arial"/>
          <w:color w:val="000000" w:themeColor="text1"/>
          <w:sz w:val="20"/>
          <w:szCs w:val="20"/>
        </w:rPr>
        <w:t>7 227</w:t>
      </w:r>
      <w:r w:rsidRPr="00C86EBC">
        <w:rPr>
          <w:rFonts w:ascii="Arial" w:hAnsi="Arial" w:cs="Arial"/>
          <w:color w:val="000000" w:themeColor="text1"/>
          <w:sz w:val="20"/>
          <w:szCs w:val="20"/>
        </w:rPr>
        <w:t xml:space="preserve"> korun, </w:t>
      </w:r>
      <w:r>
        <w:rPr>
          <w:rFonts w:ascii="Arial" w:hAnsi="Arial" w:cs="Arial"/>
          <w:color w:val="000000" w:themeColor="text1"/>
          <w:sz w:val="20"/>
          <w:szCs w:val="20"/>
        </w:rPr>
        <w:t xml:space="preserve">zatímco ve </w:t>
      </w:r>
      <w:r w:rsidRPr="00C86EBC">
        <w:rPr>
          <w:rFonts w:ascii="Arial" w:hAnsi="Arial" w:cs="Arial"/>
          <w:color w:val="000000" w:themeColor="text1"/>
          <w:sz w:val="20"/>
          <w:szCs w:val="20"/>
        </w:rPr>
        <w:t>městech</w:t>
      </w:r>
      <w:r>
        <w:rPr>
          <w:rFonts w:ascii="Arial" w:hAnsi="Arial" w:cs="Arial"/>
          <w:color w:val="000000" w:themeColor="text1"/>
          <w:sz w:val="20"/>
          <w:szCs w:val="20"/>
        </w:rPr>
        <w:t xml:space="preserve"> o</w:t>
      </w:r>
      <w:r w:rsidRPr="00C86EBC">
        <w:rPr>
          <w:rFonts w:ascii="Arial" w:hAnsi="Arial" w:cs="Arial"/>
          <w:color w:val="000000" w:themeColor="text1"/>
          <w:sz w:val="20"/>
          <w:szCs w:val="20"/>
        </w:rPr>
        <w:t xml:space="preserve"> velikosti Benešov</w:t>
      </w:r>
      <w:r>
        <w:rPr>
          <w:rFonts w:ascii="Arial" w:hAnsi="Arial" w:cs="Arial"/>
          <w:color w:val="000000" w:themeColor="text1"/>
          <w:sz w:val="20"/>
          <w:szCs w:val="20"/>
        </w:rPr>
        <w:t>a</w:t>
      </w:r>
      <w:r w:rsidRPr="00C86EBC">
        <w:rPr>
          <w:rFonts w:ascii="Arial" w:hAnsi="Arial" w:cs="Arial"/>
          <w:color w:val="000000" w:themeColor="text1"/>
          <w:sz w:val="20"/>
          <w:szCs w:val="20"/>
        </w:rPr>
        <w:t xml:space="preserve"> pak roční pojistné v</w:t>
      </w:r>
      <w:r>
        <w:rPr>
          <w:rFonts w:ascii="Arial" w:hAnsi="Arial" w:cs="Arial"/>
          <w:color w:val="000000" w:themeColor="text1"/>
          <w:sz w:val="20"/>
          <w:szCs w:val="20"/>
        </w:rPr>
        <w:t xml:space="preserve"> lednu </w:t>
      </w:r>
      <w:r w:rsidRPr="00C86EBC">
        <w:rPr>
          <w:rFonts w:ascii="Arial" w:hAnsi="Arial" w:cs="Arial"/>
          <w:color w:val="000000" w:themeColor="text1"/>
          <w:sz w:val="20"/>
          <w:szCs w:val="20"/>
        </w:rPr>
        <w:t xml:space="preserve">činilo </w:t>
      </w:r>
      <w:r w:rsidR="000C74BD">
        <w:rPr>
          <w:rFonts w:ascii="Arial" w:hAnsi="Arial" w:cs="Arial"/>
          <w:color w:val="000000" w:themeColor="text1"/>
          <w:sz w:val="20"/>
          <w:szCs w:val="20"/>
        </w:rPr>
        <w:t>5 816</w:t>
      </w:r>
      <w:r w:rsidRPr="00C86EBC">
        <w:rPr>
          <w:rFonts w:ascii="Arial" w:hAnsi="Arial" w:cs="Arial"/>
          <w:color w:val="000000" w:themeColor="text1"/>
          <w:sz w:val="20"/>
          <w:szCs w:val="20"/>
        </w:rPr>
        <w:t xml:space="preserve"> </w:t>
      </w:r>
      <w:r>
        <w:rPr>
          <w:rFonts w:ascii="Arial" w:hAnsi="Arial" w:cs="Arial"/>
          <w:color w:val="000000" w:themeColor="text1"/>
          <w:sz w:val="20"/>
          <w:szCs w:val="20"/>
        </w:rPr>
        <w:t xml:space="preserve">korun. V historickém srovnání se však celková hodnota lednového POVIndexu stále ještě drží na nižší úrovni než v předchozích letech. </w:t>
      </w:r>
      <w:r w:rsidRPr="000C74BD">
        <w:rPr>
          <w:rFonts w:ascii="Arial" w:hAnsi="Arial" w:cs="Arial"/>
          <w:color w:val="000000" w:themeColor="text1"/>
          <w:sz w:val="20"/>
          <w:szCs w:val="20"/>
        </w:rPr>
        <w:t xml:space="preserve">V lednu loňského roku byla vyšší o </w:t>
      </w:r>
      <w:r w:rsidR="000C74BD" w:rsidRPr="000C74BD">
        <w:rPr>
          <w:rFonts w:ascii="Arial" w:hAnsi="Arial" w:cs="Arial"/>
          <w:color w:val="000000" w:themeColor="text1"/>
          <w:sz w:val="20"/>
          <w:szCs w:val="20"/>
        </w:rPr>
        <w:t xml:space="preserve">98 korun, </w:t>
      </w:r>
      <w:r w:rsidR="000C74BD">
        <w:rPr>
          <w:rFonts w:ascii="Arial" w:hAnsi="Arial" w:cs="Arial"/>
          <w:color w:val="000000" w:themeColor="text1"/>
          <w:sz w:val="20"/>
          <w:szCs w:val="20"/>
        </w:rPr>
        <w:t>v lednu roku</w:t>
      </w:r>
      <w:r w:rsidR="000C74BD" w:rsidRPr="000C74BD">
        <w:rPr>
          <w:rFonts w:ascii="Arial" w:hAnsi="Arial" w:cs="Arial"/>
          <w:color w:val="000000" w:themeColor="text1"/>
          <w:sz w:val="20"/>
          <w:szCs w:val="20"/>
        </w:rPr>
        <w:t xml:space="preserve"> 2020</w:t>
      </w:r>
      <w:r w:rsidRPr="000C74BD">
        <w:rPr>
          <w:rFonts w:ascii="Arial" w:hAnsi="Arial" w:cs="Arial"/>
          <w:color w:val="000000" w:themeColor="text1"/>
          <w:sz w:val="20"/>
          <w:szCs w:val="20"/>
        </w:rPr>
        <w:t xml:space="preserve"> dokonce o </w:t>
      </w:r>
      <w:r w:rsidR="000C74BD" w:rsidRPr="000C74BD">
        <w:rPr>
          <w:rFonts w:ascii="Arial" w:hAnsi="Arial" w:cs="Arial"/>
          <w:color w:val="000000" w:themeColor="text1"/>
          <w:sz w:val="20"/>
          <w:szCs w:val="20"/>
        </w:rPr>
        <w:t>677</w:t>
      </w:r>
      <w:r w:rsidRPr="000C74BD">
        <w:rPr>
          <w:rFonts w:ascii="Arial" w:hAnsi="Arial" w:cs="Arial"/>
          <w:color w:val="000000" w:themeColor="text1"/>
          <w:sz w:val="20"/>
          <w:szCs w:val="20"/>
        </w:rPr>
        <w:t xml:space="preserve"> korun.</w:t>
      </w:r>
    </w:p>
    <w:p w14:paraId="2660A63F" w14:textId="4843ED05" w:rsidR="000C74BD" w:rsidRPr="00576552" w:rsidRDefault="000C74BD" w:rsidP="00C86EBC">
      <w:pPr>
        <w:jc w:val="both"/>
        <w:rPr>
          <w:rFonts w:ascii="Arial" w:hAnsi="Arial" w:cs="Arial"/>
          <w:color w:val="000000" w:themeColor="text1"/>
          <w:sz w:val="20"/>
          <w:szCs w:val="20"/>
        </w:rPr>
      </w:pPr>
    </w:p>
    <w:p w14:paraId="6CAA2A8A" w14:textId="07C7E4C2" w:rsidR="000C74BD" w:rsidRDefault="00EA29EC" w:rsidP="00C86EBC">
      <w:pPr>
        <w:jc w:val="both"/>
        <w:rPr>
          <w:rFonts w:ascii="Arial" w:hAnsi="Arial" w:cs="Arial"/>
          <w:color w:val="000000" w:themeColor="text1"/>
          <w:sz w:val="20"/>
          <w:szCs w:val="20"/>
        </w:rPr>
      </w:pPr>
      <w:r w:rsidRPr="00EA29EC">
        <w:rPr>
          <w:rFonts w:ascii="Arial" w:hAnsi="Arial" w:cs="Arial"/>
          <w:noProof/>
          <w:color w:val="000000" w:themeColor="text1"/>
          <w:sz w:val="20"/>
          <w:szCs w:val="20"/>
          <w:lang w:bidi="ar-SA"/>
        </w:rPr>
        <w:drawing>
          <wp:inline distT="0" distB="0" distL="0" distR="0" wp14:anchorId="1A9FA1AC" wp14:editId="56C8D1E8">
            <wp:extent cx="6654165" cy="3329940"/>
            <wp:effectExtent l="0" t="0" r="0" b="381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54165" cy="3329940"/>
                    </a:xfrm>
                    <a:prstGeom prst="rect">
                      <a:avLst/>
                    </a:prstGeom>
                  </pic:spPr>
                </pic:pic>
              </a:graphicData>
            </a:graphic>
          </wp:inline>
        </w:drawing>
      </w:r>
    </w:p>
    <w:p w14:paraId="3BDF8A87" w14:textId="46F00F48" w:rsidR="006620C8" w:rsidRDefault="00C86EBC" w:rsidP="006620C8">
      <w:pPr>
        <w:jc w:val="both"/>
        <w:rPr>
          <w:rFonts w:ascii="Arial" w:hAnsi="Arial" w:cs="Arial"/>
          <w:color w:val="000000" w:themeColor="text1"/>
          <w:sz w:val="20"/>
          <w:szCs w:val="20"/>
        </w:rPr>
      </w:pPr>
      <w:r w:rsidRPr="00576552">
        <w:rPr>
          <w:rFonts w:ascii="Arial" w:hAnsi="Arial" w:cs="Arial"/>
          <w:color w:val="000000" w:themeColor="text1"/>
          <w:sz w:val="20"/>
          <w:szCs w:val="20"/>
        </w:rPr>
        <w:t>POVIndex byl poprvé spuštěn v srpnu roku 2019. Od svého počátku sleduje vývoj nákladů na povinné ručení pro řidiče bez historie, ať už se jedná o nového řidiče, nebo o řidiče, který donedávna užíval služební vozidlo.</w:t>
      </w:r>
      <w:r>
        <w:rPr>
          <w:rFonts w:ascii="Arial" w:hAnsi="Arial" w:cs="Arial"/>
          <w:color w:val="000000" w:themeColor="text1"/>
          <w:sz w:val="20"/>
          <w:szCs w:val="20"/>
        </w:rPr>
        <w:t xml:space="preserve"> </w:t>
      </w:r>
      <w:r w:rsidRPr="00576552">
        <w:rPr>
          <w:rFonts w:ascii="Arial" w:hAnsi="Arial" w:cs="Arial"/>
          <w:color w:val="000000" w:themeColor="text1"/>
          <w:sz w:val="20"/>
          <w:szCs w:val="20"/>
        </w:rPr>
        <w:t xml:space="preserve">Broker Consulting POVIndex je počítán odlišnou metodikou, než jako používá ČKP. Pro vizualizaci je zvolena značka vozu Škoda Octavia </w:t>
      </w:r>
      <w:r w:rsidRPr="00576552">
        <w:rPr>
          <w:rFonts w:ascii="Arial" w:hAnsi="Arial" w:cs="Arial"/>
          <w:color w:val="000000" w:themeColor="text1"/>
          <w:sz w:val="20"/>
          <w:szCs w:val="20"/>
        </w:rPr>
        <w:lastRenderedPageBreak/>
        <w:t>1,6 TDI, 85 kW. POVIndex zastupuje běžné vozidlo podobné kubatury a výkonu ve vyšších hodnotách plnění, kdy první hodnota udává limit pojistného plnění pro případ škody na zdraví a druhá částka limit pro škody na majetku a ušlém zisku. Index je složen z těchto limitů povinného ručení: 36 % 100mil/100mil, 55 % 150mil/150mil a 9 % 200mil/200mil. V dlouhodobém horizontu lze díky POVIndexu sledovat, zda pojišťovny základní sazby u typického vozu spíše zdražují, nebo zlevňují.</w:t>
      </w:r>
    </w:p>
    <w:p w14:paraId="5D07F572" w14:textId="5DE88EEE" w:rsidR="007E0AC1" w:rsidRPr="007F28B9" w:rsidRDefault="007E0AC1" w:rsidP="0042312B">
      <w:pPr>
        <w:pStyle w:val="Nadpis1"/>
        <w:shd w:val="clear" w:color="auto" w:fill="FFFFFF"/>
        <w:ind w:left="0"/>
        <w:jc w:val="both"/>
        <w:rPr>
          <w:rFonts w:ascii="Arial" w:hAnsi="Arial" w:cs="Arial"/>
          <w:color w:val="FF0000"/>
          <w:sz w:val="20"/>
          <w:szCs w:val="20"/>
        </w:rPr>
      </w:pPr>
    </w:p>
    <w:p w14:paraId="1312ED3D" w14:textId="77777777" w:rsidR="00DE7CE1" w:rsidRDefault="00DE7CE1" w:rsidP="00B7285B">
      <w:pPr>
        <w:pBdr>
          <w:bottom w:val="single" w:sz="4" w:space="1" w:color="auto"/>
        </w:pBdr>
        <w:rPr>
          <w:rFonts w:ascii="Arial" w:hAnsi="Arial" w:cs="Arial"/>
          <w:b/>
          <w:sz w:val="18"/>
          <w:szCs w:val="16"/>
        </w:rPr>
      </w:pPr>
    </w:p>
    <w:p w14:paraId="0572A7E3" w14:textId="6C510BF2" w:rsidR="00356FFC" w:rsidRDefault="00356FFC" w:rsidP="00B7285B">
      <w:pPr>
        <w:pStyle w:val="Zkladntext"/>
        <w:spacing w:before="33" w:line="237" w:lineRule="auto"/>
        <w:jc w:val="both"/>
        <w:rPr>
          <w:rFonts w:ascii="Arial" w:hAnsi="Arial" w:cs="Arial"/>
          <w:b/>
          <w:sz w:val="18"/>
          <w:szCs w:val="18"/>
        </w:rPr>
      </w:pPr>
    </w:p>
    <w:p w14:paraId="62036551" w14:textId="77777777" w:rsidR="00763554" w:rsidRPr="00F64A9E" w:rsidRDefault="00763554" w:rsidP="00B7285B">
      <w:pPr>
        <w:rPr>
          <w:rFonts w:ascii="Arial" w:hAnsi="Arial" w:cs="Arial"/>
          <w:sz w:val="20"/>
          <w:szCs w:val="20"/>
        </w:rPr>
      </w:pPr>
      <w:r w:rsidRPr="00F64A9E">
        <w:rPr>
          <w:rFonts w:ascii="Arial" w:hAnsi="Arial" w:cs="Arial"/>
          <w:b/>
          <w:sz w:val="20"/>
          <w:szCs w:val="20"/>
        </w:rPr>
        <w:t>Poznámka pro média:</w:t>
      </w:r>
      <w:r w:rsidRPr="00F64A9E">
        <w:rPr>
          <w:rFonts w:ascii="Arial" w:hAnsi="Arial" w:cs="Arial"/>
          <w:sz w:val="20"/>
          <w:szCs w:val="20"/>
        </w:rPr>
        <w:t xml:space="preserve"> </w:t>
      </w:r>
      <w:r w:rsidRPr="00F64A9E">
        <w:rPr>
          <w:rFonts w:ascii="Arial" w:hAnsi="Arial" w:cs="Arial"/>
          <w:color w:val="1D1D1B"/>
          <w:w w:val="105"/>
          <w:sz w:val="20"/>
          <w:szCs w:val="20"/>
        </w:rPr>
        <w:t>Broker</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Consulting</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Indexy</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je</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možné</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volně</w:t>
      </w:r>
      <w:r w:rsidRPr="00F64A9E">
        <w:rPr>
          <w:rFonts w:ascii="Arial" w:hAnsi="Arial" w:cs="Arial"/>
          <w:color w:val="1D1D1B"/>
          <w:spacing w:val="-8"/>
          <w:w w:val="105"/>
          <w:sz w:val="20"/>
          <w:szCs w:val="20"/>
        </w:rPr>
        <w:t xml:space="preserve"> </w:t>
      </w:r>
      <w:r w:rsidRPr="00F64A9E">
        <w:rPr>
          <w:rFonts w:ascii="Arial" w:hAnsi="Arial" w:cs="Arial"/>
          <w:color w:val="1D1D1B"/>
          <w:spacing w:val="2"/>
          <w:w w:val="105"/>
          <w:sz w:val="20"/>
          <w:szCs w:val="20"/>
        </w:rPr>
        <w:t>publikovat</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pouze</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s</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označením</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„Broker</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Consulting</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Index“</w:t>
      </w:r>
      <w:r w:rsidRPr="00F64A9E">
        <w:rPr>
          <w:rFonts w:ascii="Arial" w:hAnsi="Arial" w:cs="Arial"/>
          <w:color w:val="1D1D1B"/>
          <w:spacing w:val="-9"/>
          <w:w w:val="105"/>
          <w:sz w:val="20"/>
          <w:szCs w:val="20"/>
        </w:rPr>
        <w:t xml:space="preserve"> </w:t>
      </w:r>
      <w:r w:rsidRPr="00F64A9E">
        <w:rPr>
          <w:rFonts w:ascii="Arial" w:hAnsi="Arial" w:cs="Arial"/>
          <w:color w:val="1D1D1B"/>
          <w:spacing w:val="-3"/>
          <w:w w:val="105"/>
          <w:sz w:val="20"/>
          <w:szCs w:val="20"/>
        </w:rPr>
        <w:t>(</w:t>
      </w:r>
      <w:r w:rsidRPr="00F64A9E">
        <w:rPr>
          <w:rFonts w:ascii="Arial" w:hAnsi="Arial" w:cs="Arial"/>
          <w:i/>
          <w:color w:val="1D1D1B"/>
          <w:spacing w:val="-3"/>
          <w:w w:val="105"/>
          <w:sz w:val="20"/>
          <w:szCs w:val="20"/>
        </w:rPr>
        <w:t>např.</w:t>
      </w:r>
      <w:r w:rsidRPr="00F64A9E">
        <w:rPr>
          <w:rFonts w:ascii="Arial" w:hAnsi="Arial" w:cs="Arial"/>
          <w:i/>
          <w:color w:val="1D1D1B"/>
          <w:spacing w:val="-8"/>
          <w:w w:val="105"/>
          <w:sz w:val="20"/>
          <w:szCs w:val="20"/>
        </w:rPr>
        <w:t xml:space="preserve"> </w:t>
      </w:r>
      <w:r w:rsidRPr="00F64A9E">
        <w:rPr>
          <w:rFonts w:ascii="Arial" w:hAnsi="Arial" w:cs="Arial"/>
          <w:i/>
          <w:color w:val="1D1D1B"/>
          <w:w w:val="105"/>
          <w:sz w:val="20"/>
          <w:szCs w:val="20"/>
        </w:rPr>
        <w:t>Broker</w:t>
      </w:r>
      <w:r w:rsidRPr="00F64A9E">
        <w:rPr>
          <w:rFonts w:ascii="Arial" w:hAnsi="Arial" w:cs="Arial"/>
          <w:i/>
          <w:color w:val="1D1D1B"/>
          <w:spacing w:val="-9"/>
          <w:w w:val="105"/>
          <w:sz w:val="20"/>
          <w:szCs w:val="20"/>
        </w:rPr>
        <w:t xml:space="preserve"> </w:t>
      </w:r>
      <w:r w:rsidRPr="00F64A9E">
        <w:rPr>
          <w:rFonts w:ascii="Arial" w:hAnsi="Arial" w:cs="Arial"/>
          <w:i/>
          <w:color w:val="1D1D1B"/>
          <w:w w:val="105"/>
          <w:sz w:val="20"/>
          <w:szCs w:val="20"/>
        </w:rPr>
        <w:t>Consulting</w:t>
      </w:r>
      <w:r w:rsidRPr="00F64A9E">
        <w:rPr>
          <w:rFonts w:ascii="Arial" w:hAnsi="Arial" w:cs="Arial"/>
          <w:i/>
          <w:color w:val="1D1D1B"/>
          <w:spacing w:val="-8"/>
          <w:w w:val="105"/>
          <w:sz w:val="20"/>
          <w:szCs w:val="20"/>
        </w:rPr>
        <w:t xml:space="preserve"> </w:t>
      </w:r>
      <w:r w:rsidRPr="00F64A9E">
        <w:rPr>
          <w:rFonts w:ascii="Arial" w:hAnsi="Arial" w:cs="Arial"/>
          <w:i/>
          <w:color w:val="1D1D1B"/>
          <w:w w:val="105"/>
          <w:sz w:val="20"/>
          <w:szCs w:val="20"/>
        </w:rPr>
        <w:t xml:space="preserve">Index hypotečních úvěrů). Více informací najdete též na webu </w:t>
      </w:r>
      <w:r w:rsidRPr="00F64A9E">
        <w:rPr>
          <w:rStyle w:val="Hypertextovodkaz"/>
          <w:rFonts w:ascii="Arial" w:hAnsi="Arial" w:cs="Arial"/>
          <w:i/>
          <w:w w:val="105"/>
          <w:sz w:val="20"/>
          <w:szCs w:val="20"/>
        </w:rPr>
        <w:t>https://www.bcas.cz/onas/pro-media/</w:t>
      </w:r>
      <w:r w:rsidRPr="00F64A9E">
        <w:rPr>
          <w:rFonts w:ascii="Arial" w:hAnsi="Arial" w:cs="Arial"/>
          <w:i/>
          <w:color w:val="1D1D1B"/>
          <w:w w:val="105"/>
          <w:sz w:val="20"/>
          <w:szCs w:val="20"/>
        </w:rPr>
        <w:t xml:space="preserve">. </w:t>
      </w:r>
    </w:p>
    <w:p w14:paraId="7C444476" w14:textId="77777777" w:rsidR="00763554" w:rsidRPr="00F64A9E" w:rsidRDefault="00763554" w:rsidP="00B7285B">
      <w:pPr>
        <w:pStyle w:val="Zkladntext"/>
        <w:spacing w:before="33" w:line="237" w:lineRule="auto"/>
        <w:jc w:val="both"/>
        <w:rPr>
          <w:rFonts w:ascii="Arial" w:hAnsi="Arial" w:cs="Arial"/>
          <w:b/>
          <w:sz w:val="20"/>
          <w:szCs w:val="20"/>
        </w:rPr>
      </w:pPr>
    </w:p>
    <w:p w14:paraId="0F24D052" w14:textId="6B8C0BB9" w:rsidR="00356FFC" w:rsidRPr="00F64A9E" w:rsidRDefault="00356FFC" w:rsidP="00B7285B">
      <w:pPr>
        <w:pStyle w:val="Zkladntext"/>
        <w:spacing w:before="33" w:line="237" w:lineRule="auto"/>
        <w:jc w:val="both"/>
        <w:rPr>
          <w:rFonts w:ascii="Arial" w:hAnsi="Arial" w:cs="Arial"/>
          <w:b/>
          <w:sz w:val="20"/>
          <w:szCs w:val="20"/>
        </w:rPr>
      </w:pPr>
    </w:p>
    <w:p w14:paraId="68A3F048" w14:textId="69199689" w:rsidR="00404CDA" w:rsidRPr="000E21D2" w:rsidRDefault="001B5A35" w:rsidP="000E21D2">
      <w:pPr>
        <w:pStyle w:val="Zkladntext"/>
        <w:spacing w:before="33" w:line="237" w:lineRule="auto"/>
        <w:jc w:val="both"/>
        <w:rPr>
          <w:rFonts w:ascii="Arial" w:hAnsi="Arial" w:cs="Arial"/>
          <w:sz w:val="20"/>
          <w:szCs w:val="20"/>
        </w:rPr>
      </w:pPr>
      <w:r w:rsidRPr="00F64A9E">
        <w:rPr>
          <w:rFonts w:ascii="Arial" w:hAnsi="Arial" w:cs="Arial"/>
          <w:b/>
          <w:sz w:val="20"/>
          <w:szCs w:val="20"/>
        </w:rPr>
        <w:t>Broker Consulting POVIndex</w:t>
      </w:r>
      <w:r w:rsidRPr="00F64A9E">
        <w:rPr>
          <w:rFonts w:ascii="Arial" w:hAnsi="Arial" w:cs="Arial"/>
          <w:sz w:val="20"/>
          <w:szCs w:val="20"/>
        </w:rPr>
        <w:t xml:space="preserve"> je sledován od roku 2019. Je založen na odlišné metodice výpočtu, než jakou používá ČKP. Jeho hodnota nevychází z průměru hodnot celé řady veličin, ale z menšího množství parametrů. POVIndex ukazuje průměrnou cenu za typické povinné ručení pro nový vůz Škoda Octavia 1,6 TDI, 85 kW. Typ vozu byl vybrán proto, že je typickým zástupcem vozů, které používají české domácnosti. Pojištění zahrnutá do POVIndexu obsahují nejběžnější možné krytí. Pojištění dostupná na trhu ale nemají úplně identický rozsah krytí. Vždy je potřeba posuzovat nejenom cenu, ale také rozsah benefitů (zejména asistenčních služeb) ve vztahu k potřebám řidiče (Jak moc jezdí? Jaké vzdálenosti? Jak si představuje servis od pojišťovny v případě nehody?). Rozdíly v pojištěních jsou například v limitech pro opravu na místě, v limitech pro vzdálenost hrazeného odtahu, případně v možnostech náhradního vozidla. </w:t>
      </w:r>
    </w:p>
    <w:p w14:paraId="4059547F" w14:textId="77777777" w:rsidR="000E21D2" w:rsidRDefault="000E21D2" w:rsidP="00DE7CE1">
      <w:pPr>
        <w:pStyle w:val="Bezmezer"/>
        <w:rPr>
          <w:rFonts w:ascii="Arial" w:eastAsia="F015TEELig" w:hAnsi="Arial" w:cs="Arial"/>
          <w:b/>
          <w:sz w:val="20"/>
          <w:szCs w:val="20"/>
        </w:rPr>
      </w:pPr>
    </w:p>
    <w:p w14:paraId="549F0D26" w14:textId="77777777" w:rsidR="000E21D2" w:rsidRDefault="000E21D2" w:rsidP="00DE7CE1">
      <w:pPr>
        <w:pStyle w:val="Bezmezer"/>
        <w:rPr>
          <w:rFonts w:ascii="Arial" w:eastAsia="F015TEELig" w:hAnsi="Arial" w:cs="Arial"/>
          <w:b/>
          <w:sz w:val="20"/>
          <w:szCs w:val="20"/>
        </w:rPr>
      </w:pPr>
    </w:p>
    <w:p w14:paraId="43CFEAAA" w14:textId="77777777" w:rsidR="000E21D2" w:rsidRDefault="000E21D2" w:rsidP="00DE7CE1">
      <w:pPr>
        <w:pStyle w:val="Bezmezer"/>
        <w:rPr>
          <w:rFonts w:ascii="Arial" w:eastAsia="F015TEELig" w:hAnsi="Arial" w:cs="Arial"/>
          <w:b/>
          <w:sz w:val="20"/>
          <w:szCs w:val="20"/>
        </w:rPr>
      </w:pPr>
    </w:p>
    <w:p w14:paraId="7966D3DF" w14:textId="74C850C7" w:rsidR="00DE7CE1" w:rsidRPr="00DE7CE1" w:rsidRDefault="00866220" w:rsidP="00DE7CE1">
      <w:pPr>
        <w:pStyle w:val="Bezmezer"/>
        <w:rPr>
          <w:rFonts w:ascii="Arial" w:eastAsia="F015TEELig" w:hAnsi="Arial" w:cs="Arial"/>
          <w:b/>
          <w:sz w:val="20"/>
          <w:szCs w:val="20"/>
        </w:rPr>
      </w:pPr>
      <w:r w:rsidRPr="00DE7CE1">
        <w:rPr>
          <w:rFonts w:ascii="Arial" w:eastAsia="F015TEELig" w:hAnsi="Arial" w:cs="Arial"/>
          <w:b/>
          <w:sz w:val="20"/>
          <w:szCs w:val="20"/>
        </w:rPr>
        <w:t>Kontakt pro média:</w:t>
      </w:r>
    </w:p>
    <w:p w14:paraId="2ACFC1DB" w14:textId="77777777" w:rsidR="00DE7CE1" w:rsidRPr="00DE7CE1" w:rsidRDefault="00866220" w:rsidP="00DE7CE1">
      <w:pPr>
        <w:pStyle w:val="Bezmezer"/>
        <w:rPr>
          <w:rFonts w:ascii="Arial" w:eastAsia="F015TEELig" w:hAnsi="Arial" w:cs="Arial"/>
          <w:sz w:val="20"/>
          <w:szCs w:val="20"/>
        </w:rPr>
      </w:pPr>
      <w:r w:rsidRPr="00DE7CE1">
        <w:rPr>
          <w:rFonts w:ascii="Arial" w:eastAsia="F015TEELig" w:hAnsi="Arial" w:cs="Arial"/>
          <w:sz w:val="20"/>
          <w:szCs w:val="20"/>
        </w:rPr>
        <w:t>Tereza Kunová</w:t>
      </w:r>
    </w:p>
    <w:p w14:paraId="3373094C" w14:textId="6E64C468" w:rsidR="00866220" w:rsidRPr="00DE7CE1" w:rsidRDefault="00866220" w:rsidP="00DE7CE1">
      <w:pPr>
        <w:pStyle w:val="Bezmezer"/>
        <w:rPr>
          <w:rFonts w:ascii="Arial" w:eastAsia="F015TEELig" w:hAnsi="Arial" w:cs="Arial"/>
          <w:sz w:val="20"/>
          <w:szCs w:val="20"/>
        </w:rPr>
      </w:pPr>
      <w:r w:rsidRPr="00DE7CE1">
        <w:rPr>
          <w:rFonts w:ascii="Arial" w:eastAsia="F015TEELig" w:hAnsi="Arial" w:cs="Arial"/>
          <w:sz w:val="20"/>
          <w:szCs w:val="20"/>
        </w:rPr>
        <w:t>Specialistka PR a externí komunikace</w:t>
      </w:r>
    </w:p>
    <w:p w14:paraId="5F3875B6" w14:textId="77777777" w:rsidR="00866220" w:rsidRPr="00DE7CE1" w:rsidRDefault="00866220" w:rsidP="00DE7CE1">
      <w:pPr>
        <w:pStyle w:val="Bezmezer"/>
        <w:rPr>
          <w:rFonts w:ascii="Arial" w:eastAsia="F015TEELig" w:hAnsi="Arial" w:cs="Arial"/>
          <w:sz w:val="20"/>
          <w:szCs w:val="20"/>
        </w:rPr>
      </w:pPr>
      <w:r w:rsidRPr="00DE7CE1">
        <w:rPr>
          <w:rFonts w:ascii="Arial" w:eastAsia="F015TEELig" w:hAnsi="Arial" w:cs="Arial"/>
          <w:sz w:val="20"/>
          <w:szCs w:val="20"/>
        </w:rPr>
        <w:t>Mobil: +420 731 537 716</w:t>
      </w:r>
    </w:p>
    <w:p w14:paraId="3C3B347D" w14:textId="11C05EC8" w:rsidR="004C7BB5" w:rsidRPr="000E21D2" w:rsidRDefault="00866220" w:rsidP="000E21D2">
      <w:pPr>
        <w:pStyle w:val="Bezmezer"/>
        <w:rPr>
          <w:rFonts w:ascii="Arial" w:eastAsia="Calibri" w:hAnsi="Arial" w:cs="Arial"/>
          <w:noProof/>
          <w:sz w:val="20"/>
          <w:szCs w:val="20"/>
        </w:rPr>
      </w:pPr>
      <w:r w:rsidRPr="00DE7CE1">
        <w:rPr>
          <w:rFonts w:ascii="Arial" w:eastAsia="F015TEELig" w:hAnsi="Arial" w:cs="Arial"/>
          <w:sz w:val="20"/>
          <w:szCs w:val="20"/>
        </w:rPr>
        <w:t>E-mail:</w:t>
      </w:r>
      <w:r w:rsidRPr="00DE7CE1">
        <w:rPr>
          <w:rFonts w:ascii="Arial" w:eastAsia="Calibri" w:hAnsi="Arial" w:cs="Arial"/>
          <w:noProof/>
          <w:sz w:val="20"/>
          <w:szCs w:val="20"/>
        </w:rPr>
        <w:t xml:space="preserve"> </w:t>
      </w:r>
      <w:hyperlink r:id="rId25" w:history="1">
        <w:r w:rsidR="00906147" w:rsidRPr="00B07DEE">
          <w:rPr>
            <w:rStyle w:val="Hypertextovodkaz"/>
            <w:rFonts w:ascii="Arial" w:eastAsia="Calibri" w:hAnsi="Arial" w:cs="Arial"/>
            <w:noProof/>
            <w:sz w:val="20"/>
            <w:szCs w:val="20"/>
          </w:rPr>
          <w:t>tereza.kunova@bcas.cz</w:t>
        </w:r>
      </w:hyperlink>
      <w:r w:rsidRPr="00DE7CE1">
        <w:rPr>
          <w:rFonts w:ascii="Arial" w:eastAsia="Calibri" w:hAnsi="Arial" w:cs="Arial"/>
          <w:noProof/>
          <w:sz w:val="20"/>
          <w:szCs w:val="20"/>
        </w:rPr>
        <w:t xml:space="preserve"> </w:t>
      </w:r>
    </w:p>
    <w:p w14:paraId="6FC0F9F5" w14:textId="4E60524C" w:rsidR="004C7BB5" w:rsidRPr="00D82E2D" w:rsidRDefault="004C7BB5" w:rsidP="00D82E2D">
      <w:pPr>
        <w:widowControl/>
        <w:shd w:val="clear" w:color="auto" w:fill="FFFFFF"/>
        <w:autoSpaceDE/>
        <w:autoSpaceDN/>
        <w:spacing w:after="255"/>
        <w:rPr>
          <w:rFonts w:ascii="Arial" w:eastAsia="Times New Roman" w:hAnsi="Arial" w:cs="Arial"/>
          <w:iCs/>
          <w:color w:val="000000"/>
          <w:sz w:val="20"/>
          <w:szCs w:val="20"/>
          <w:lang w:bidi="ar-SA"/>
        </w:rPr>
      </w:pPr>
    </w:p>
    <w:sectPr w:rsidR="004C7BB5" w:rsidRPr="00D82E2D" w:rsidSect="009E6ADA">
      <w:type w:val="continuous"/>
      <w:pgSz w:w="11910" w:h="16840"/>
      <w:pgMar w:top="1985" w:right="711" w:bottom="2410" w:left="720" w:header="708"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66BEAB" w14:textId="77777777" w:rsidR="00DA78FC" w:rsidRDefault="00DA78FC">
      <w:r>
        <w:separator/>
      </w:r>
    </w:p>
  </w:endnote>
  <w:endnote w:type="continuationSeparator" w:id="0">
    <w:p w14:paraId="6DB1166F" w14:textId="77777777" w:rsidR="00DA78FC" w:rsidRDefault="00DA7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Arial">
    <w:panose1 w:val="020B0604020202020204"/>
    <w:charset w:val="EE"/>
    <w:family w:val="swiss"/>
    <w:pitch w:val="variable"/>
    <w:sig w:usb0="E0002EFF" w:usb1="C000785B" w:usb2="00000009" w:usb3="00000000" w:csb0="000001FF" w:csb1="00000000"/>
  </w:font>
  <w:font w:name="F015TEEMed">
    <w:altName w:val="Times New Roman"/>
    <w:charset w:val="00"/>
    <w:family w:val="auto"/>
    <w:pitch w:val="variable"/>
    <w:sig w:usb0="00000001" w:usb1="00000000" w:usb2="00000000" w:usb3="00000000" w:csb0="00000083"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F015TEE">
    <w:altName w:val="Times New Roman"/>
    <w:charset w:val="00"/>
    <w:family w:val="auto"/>
    <w:pitch w:val="variable"/>
    <w:sig w:usb0="00000001" w:usb1="00002048" w:usb2="00000000" w:usb3="00000000" w:csb0="0000008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99FF5"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22F6DF92" wp14:editId="73EBBBDA">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B71C6" w14:textId="74D6BC1D" w:rsidR="00D80B6D" w:rsidRPr="00153161" w:rsidRDefault="00DA78FC" w:rsidP="00E95698">
                          <w:pPr>
                            <w:pStyle w:val="Zkladntext"/>
                            <w:spacing w:before="16"/>
                            <w:ind w:left="20"/>
                            <w:rPr>
                              <w:rFonts w:ascii="Arial" w:hAnsi="Arial" w:cs="Arial"/>
                              <w:b/>
                              <w:color w:val="FFFFFF" w:themeColor="background1"/>
                              <w:sz w:val="20"/>
                            </w:rPr>
                          </w:pPr>
                          <w:hyperlink r:id="rId1" w:history="1">
                            <w:r w:rsidR="00153161" w:rsidRPr="00153161">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F6DF92"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256B71C6" w14:textId="74D6BC1D" w:rsidR="00D80B6D" w:rsidRPr="00153161" w:rsidRDefault="00940EA3" w:rsidP="00E95698">
                    <w:pPr>
                      <w:pStyle w:val="Zkladntext"/>
                      <w:spacing w:before="16"/>
                      <w:ind w:left="20"/>
                      <w:rPr>
                        <w:rFonts w:ascii="Arial" w:hAnsi="Arial" w:cs="Arial"/>
                        <w:b/>
                        <w:color w:val="FFFFFF" w:themeColor="background1"/>
                        <w:sz w:val="20"/>
                      </w:rPr>
                    </w:pPr>
                    <w:hyperlink r:id="rId2" w:history="1">
                      <w:r w:rsidR="00153161" w:rsidRPr="00153161">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359295E7" wp14:editId="538D948F">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76B87" w14:textId="77777777" w:rsidR="00D80B6D" w:rsidRPr="00E95698" w:rsidRDefault="00DA78FC"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295E7"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48776B87" w14:textId="77777777" w:rsidR="00D80B6D" w:rsidRPr="00E95698" w:rsidRDefault="00940EA3"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9892363" wp14:editId="1D1F8D52">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68F25" w14:textId="77777777" w:rsidR="00D80B6D" w:rsidRPr="00943B58" w:rsidRDefault="00DA78FC"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92363"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44968F25" w14:textId="77777777" w:rsidR="00D80B6D" w:rsidRPr="00943B58" w:rsidRDefault="00940EA3"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E7D3C1C" wp14:editId="0577D64B">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766D34"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BBA25"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9A563" w14:textId="4B4F883C" w:rsidR="00D8513A" w:rsidRPr="00D8513A" w:rsidRDefault="00D8513A" w:rsidP="00153161">
    <w:pPr>
      <w:spacing w:line="220" w:lineRule="exact"/>
      <w:ind w:left="403" w:firstLine="590"/>
      <w:rPr>
        <w:rFonts w:ascii="Arial" w:hAnsi="Arial" w:cs="Arial"/>
        <w:sz w:val="18"/>
        <w:szCs w:val="18"/>
      </w:rPr>
    </w:pPr>
  </w:p>
  <w:p w14:paraId="4D0ABE7A" w14:textId="77777777" w:rsidR="00E17539" w:rsidRPr="00D8513A" w:rsidRDefault="00E17539" w:rsidP="00D8513A">
    <w:pPr>
      <w:spacing w:line="233" w:lineRule="exact"/>
      <w:ind w:left="993"/>
      <w:rPr>
        <w:rFonts w:ascii="Arial" w:hAnsi="Arial" w:cs="Arial"/>
        <w:sz w:val="18"/>
        <w:szCs w:val="18"/>
      </w:rPr>
    </w:pPr>
  </w:p>
  <w:p w14:paraId="303A344D" w14:textId="77777777" w:rsidR="00E17539" w:rsidRDefault="00E17539">
    <w:pPr>
      <w:pStyle w:val="Zpat"/>
    </w:pPr>
  </w:p>
  <w:p w14:paraId="43F5299E" w14:textId="77777777" w:rsidR="00D31127" w:rsidRDefault="00D31127">
    <w:pPr>
      <w:pStyle w:val="Zkladn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541CC" w14:textId="77777777" w:rsidR="009F59EE" w:rsidRDefault="009F59EE">
    <w:pPr>
      <w:pStyle w:val="Zpat"/>
    </w:pPr>
  </w:p>
  <w:p w14:paraId="03AA08BA"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E245FE" w14:textId="77777777" w:rsidR="00DA78FC" w:rsidRDefault="00DA78FC">
      <w:r>
        <w:separator/>
      </w:r>
    </w:p>
  </w:footnote>
  <w:footnote w:type="continuationSeparator" w:id="0">
    <w:p w14:paraId="2AAC89D6" w14:textId="77777777" w:rsidR="00DA78FC" w:rsidRDefault="00DA78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BB654"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79E14FBC" wp14:editId="53BCDBFA">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D1B546"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0F4FE941" wp14:editId="07B41784">
          <wp:simplePos x="0" y="0"/>
          <wp:positionH relativeFrom="margin">
            <wp:align>left</wp:align>
          </wp:positionH>
          <wp:positionV relativeFrom="paragraph">
            <wp:posOffset>45085</wp:posOffset>
          </wp:positionV>
          <wp:extent cx="1200150" cy="450850"/>
          <wp:effectExtent l="0" t="0" r="0" b="6350"/>
          <wp:wrapNone/>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4F3EA150"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62A9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027D"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61649FBC" wp14:editId="6C50DABE">
          <wp:simplePos x="0" y="0"/>
          <wp:positionH relativeFrom="margin">
            <wp:align>right</wp:align>
          </wp:positionH>
          <wp:positionV relativeFrom="paragraph">
            <wp:posOffset>6985</wp:posOffset>
          </wp:positionV>
          <wp:extent cx="601425" cy="648000"/>
          <wp:effectExtent l="0" t="0" r="8255" b="0"/>
          <wp:wrapNone/>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0E0527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74E496FE" wp14:editId="008184BD">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DDB233"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03CE00E2" wp14:editId="110496C0">
          <wp:simplePos x="0" y="0"/>
          <wp:positionH relativeFrom="margin">
            <wp:align>left</wp:align>
          </wp:positionH>
          <wp:positionV relativeFrom="paragraph">
            <wp:posOffset>63500</wp:posOffset>
          </wp:positionV>
          <wp:extent cx="958324" cy="360000"/>
          <wp:effectExtent l="0" t="0" r="0" b="254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8C96E50" w14:textId="013FC64A" w:rsidR="00B65A3B" w:rsidRPr="00B65A3B" w:rsidRDefault="00AF0BE0" w:rsidP="00B65A3B">
    <w:pPr>
      <w:spacing w:before="85"/>
      <w:ind w:left="1440" w:firstLine="720"/>
      <w:rPr>
        <w:rFonts w:ascii="Arial" w:hAnsi="Arial" w:cs="Arial"/>
        <w:sz w:val="28"/>
        <w:szCs w:val="28"/>
      </w:rPr>
    </w:pPr>
    <w:r>
      <w:rPr>
        <w:rFonts w:ascii="Arial" w:hAnsi="Arial" w:cs="Arial"/>
        <w:color w:val="E52713"/>
        <w:sz w:val="28"/>
        <w:szCs w:val="28"/>
      </w:rPr>
      <w:t>POV</w:t>
    </w:r>
    <w:r w:rsidR="00B65A3B" w:rsidRPr="00B65A3B">
      <w:rPr>
        <w:rFonts w:ascii="Arial" w:hAnsi="Arial" w:cs="Arial"/>
        <w:color w:val="E52713"/>
        <w:sz w:val="28"/>
        <w:szCs w:val="28"/>
      </w:rPr>
      <w:t xml:space="preserve">INDEX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5CD40"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2385C356" wp14:editId="5DA37715">
          <wp:simplePos x="0" y="0"/>
          <wp:positionH relativeFrom="margin">
            <wp:align>right</wp:align>
          </wp:positionH>
          <wp:positionV relativeFrom="paragraph">
            <wp:posOffset>6985</wp:posOffset>
          </wp:positionV>
          <wp:extent cx="601425" cy="648000"/>
          <wp:effectExtent l="0" t="0" r="8255"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95FE0F4"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631C4D59" wp14:editId="4FD03EAD">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003738"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0301498B" wp14:editId="636F130A">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3E4595CE" w14:textId="7127AE9A" w:rsidR="00D80B6D" w:rsidRPr="009F59EE" w:rsidRDefault="00CC7C89" w:rsidP="009F59EE">
    <w:pPr>
      <w:spacing w:before="85"/>
      <w:ind w:left="1440" w:firstLine="720"/>
      <w:rPr>
        <w:rFonts w:ascii="Arial" w:hAnsi="Arial" w:cs="Arial"/>
        <w:sz w:val="28"/>
        <w:szCs w:val="28"/>
      </w:rPr>
    </w:pPr>
    <w:r>
      <w:rPr>
        <w:rFonts w:ascii="Arial" w:hAnsi="Arial" w:cs="Arial"/>
        <w:color w:val="E52713"/>
        <w:sz w:val="28"/>
        <w:szCs w:val="28"/>
      </w:rPr>
      <w:t>POV</w:t>
    </w:r>
    <w:r w:rsidR="009F59EE" w:rsidRPr="00B65A3B">
      <w:rPr>
        <w:rFonts w:ascii="Arial" w:hAnsi="Arial" w:cs="Arial"/>
        <w:color w:val="E52713"/>
        <w:sz w:val="28"/>
        <w:szCs w:val="28"/>
      </w:rPr>
      <w:t xml:space="preserve">INDEX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B3AB9"/>
    <w:multiLevelType w:val="multilevel"/>
    <w:tmpl w:val="14125A68"/>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1" w15:restartNumberingAfterBreak="0">
    <w:nsid w:val="0515290C"/>
    <w:multiLevelType w:val="hybridMultilevel"/>
    <w:tmpl w:val="DAD23E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7951D7B"/>
    <w:multiLevelType w:val="hybridMultilevel"/>
    <w:tmpl w:val="7DA240D8"/>
    <w:lvl w:ilvl="0" w:tplc="04050001">
      <w:start w:val="1"/>
      <w:numFmt w:val="bullet"/>
      <w:lvlText w:val=""/>
      <w:lvlJc w:val="left"/>
      <w:pPr>
        <w:ind w:left="1185" w:hanging="211"/>
      </w:pPr>
      <w:rPr>
        <w:rFonts w:ascii="Symbol" w:hAnsi="Symbol" w:hint="default"/>
        <w:color w:val="CD1719"/>
        <w:w w:val="100"/>
        <w:sz w:val="22"/>
        <w:szCs w:val="22"/>
        <w:lang w:val="cs-CZ" w:eastAsia="cs-CZ" w:bidi="cs-CZ"/>
      </w:rPr>
    </w:lvl>
    <w:lvl w:ilvl="1" w:tplc="1DF000FE">
      <w:numFmt w:val="bullet"/>
      <w:lvlText w:val="•"/>
      <w:lvlJc w:val="left"/>
      <w:pPr>
        <w:ind w:left="1657" w:hanging="211"/>
      </w:pPr>
      <w:rPr>
        <w:rFonts w:hint="default"/>
        <w:lang w:val="cs-CZ" w:eastAsia="cs-CZ" w:bidi="cs-CZ"/>
      </w:rPr>
    </w:lvl>
    <w:lvl w:ilvl="2" w:tplc="80FCB91A">
      <w:numFmt w:val="bullet"/>
      <w:lvlText w:val="•"/>
      <w:lvlJc w:val="left"/>
      <w:pPr>
        <w:ind w:left="2130" w:hanging="211"/>
      </w:pPr>
      <w:rPr>
        <w:rFonts w:hint="default"/>
        <w:lang w:val="cs-CZ" w:eastAsia="cs-CZ" w:bidi="cs-CZ"/>
      </w:rPr>
    </w:lvl>
    <w:lvl w:ilvl="3" w:tplc="95182F9E">
      <w:numFmt w:val="bullet"/>
      <w:lvlText w:val="•"/>
      <w:lvlJc w:val="left"/>
      <w:pPr>
        <w:ind w:left="2604" w:hanging="211"/>
      </w:pPr>
      <w:rPr>
        <w:rFonts w:hint="default"/>
        <w:lang w:val="cs-CZ" w:eastAsia="cs-CZ" w:bidi="cs-CZ"/>
      </w:rPr>
    </w:lvl>
    <w:lvl w:ilvl="4" w:tplc="46A6BAA6">
      <w:numFmt w:val="bullet"/>
      <w:lvlText w:val="•"/>
      <w:lvlJc w:val="left"/>
      <w:pPr>
        <w:ind w:left="3077" w:hanging="211"/>
      </w:pPr>
      <w:rPr>
        <w:rFonts w:hint="default"/>
        <w:lang w:val="cs-CZ" w:eastAsia="cs-CZ" w:bidi="cs-CZ"/>
      </w:rPr>
    </w:lvl>
    <w:lvl w:ilvl="5" w:tplc="EDF4598C">
      <w:numFmt w:val="bullet"/>
      <w:lvlText w:val="•"/>
      <w:lvlJc w:val="left"/>
      <w:pPr>
        <w:ind w:left="3551" w:hanging="211"/>
      </w:pPr>
      <w:rPr>
        <w:rFonts w:hint="default"/>
        <w:lang w:val="cs-CZ" w:eastAsia="cs-CZ" w:bidi="cs-CZ"/>
      </w:rPr>
    </w:lvl>
    <w:lvl w:ilvl="6" w:tplc="EAA42A0A">
      <w:numFmt w:val="bullet"/>
      <w:lvlText w:val="•"/>
      <w:lvlJc w:val="left"/>
      <w:pPr>
        <w:ind w:left="4024" w:hanging="211"/>
      </w:pPr>
      <w:rPr>
        <w:rFonts w:hint="default"/>
        <w:lang w:val="cs-CZ" w:eastAsia="cs-CZ" w:bidi="cs-CZ"/>
      </w:rPr>
    </w:lvl>
    <w:lvl w:ilvl="7" w:tplc="24E25A2C">
      <w:numFmt w:val="bullet"/>
      <w:lvlText w:val="•"/>
      <w:lvlJc w:val="left"/>
      <w:pPr>
        <w:ind w:left="4498" w:hanging="211"/>
      </w:pPr>
      <w:rPr>
        <w:rFonts w:hint="default"/>
        <w:lang w:val="cs-CZ" w:eastAsia="cs-CZ" w:bidi="cs-CZ"/>
      </w:rPr>
    </w:lvl>
    <w:lvl w:ilvl="8" w:tplc="A382597A">
      <w:numFmt w:val="bullet"/>
      <w:lvlText w:val="•"/>
      <w:lvlJc w:val="left"/>
      <w:pPr>
        <w:ind w:left="4971" w:hanging="211"/>
      </w:pPr>
      <w:rPr>
        <w:rFonts w:hint="default"/>
        <w:lang w:val="cs-CZ" w:eastAsia="cs-CZ" w:bidi="cs-CZ"/>
      </w:rPr>
    </w:lvl>
  </w:abstractNum>
  <w:abstractNum w:abstractNumId="3" w15:restartNumberingAfterBreak="0">
    <w:nsid w:val="1232321E"/>
    <w:multiLevelType w:val="multilevel"/>
    <w:tmpl w:val="C12A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C61002"/>
    <w:multiLevelType w:val="hybridMultilevel"/>
    <w:tmpl w:val="0C325E7E"/>
    <w:lvl w:ilvl="0" w:tplc="16065E3E">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71C521A"/>
    <w:multiLevelType w:val="multilevel"/>
    <w:tmpl w:val="CA48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610251"/>
    <w:multiLevelType w:val="multilevel"/>
    <w:tmpl w:val="05420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3661C2"/>
    <w:multiLevelType w:val="multilevel"/>
    <w:tmpl w:val="1158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FB434A"/>
    <w:multiLevelType w:val="hybridMultilevel"/>
    <w:tmpl w:val="85F23A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3614D07"/>
    <w:multiLevelType w:val="multilevel"/>
    <w:tmpl w:val="A1A4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DA22E2"/>
    <w:multiLevelType w:val="multilevel"/>
    <w:tmpl w:val="C036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377184"/>
    <w:multiLevelType w:val="multilevel"/>
    <w:tmpl w:val="3B58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3" w15:restartNumberingAfterBreak="0">
    <w:nsid w:val="3CC174A7"/>
    <w:multiLevelType w:val="hybridMultilevel"/>
    <w:tmpl w:val="1354049C"/>
    <w:lvl w:ilvl="0" w:tplc="0810A4BA">
      <w:numFmt w:val="bullet"/>
      <w:lvlText w:val="-"/>
      <w:lvlJc w:val="left"/>
      <w:pPr>
        <w:ind w:left="464" w:hanging="360"/>
      </w:pPr>
      <w:rPr>
        <w:rFonts w:ascii="Arial" w:eastAsia="F015TEEMed" w:hAnsi="Arial" w:cs="Arial" w:hint="default"/>
      </w:rPr>
    </w:lvl>
    <w:lvl w:ilvl="1" w:tplc="04050003" w:tentative="1">
      <w:start w:val="1"/>
      <w:numFmt w:val="bullet"/>
      <w:lvlText w:val="o"/>
      <w:lvlJc w:val="left"/>
      <w:pPr>
        <w:ind w:left="1184" w:hanging="360"/>
      </w:pPr>
      <w:rPr>
        <w:rFonts w:ascii="Courier New" w:hAnsi="Courier New" w:cs="Courier New" w:hint="default"/>
      </w:rPr>
    </w:lvl>
    <w:lvl w:ilvl="2" w:tplc="04050005" w:tentative="1">
      <w:start w:val="1"/>
      <w:numFmt w:val="bullet"/>
      <w:lvlText w:val=""/>
      <w:lvlJc w:val="left"/>
      <w:pPr>
        <w:ind w:left="1904" w:hanging="360"/>
      </w:pPr>
      <w:rPr>
        <w:rFonts w:ascii="Wingdings" w:hAnsi="Wingdings" w:hint="default"/>
      </w:rPr>
    </w:lvl>
    <w:lvl w:ilvl="3" w:tplc="04050001" w:tentative="1">
      <w:start w:val="1"/>
      <w:numFmt w:val="bullet"/>
      <w:lvlText w:val=""/>
      <w:lvlJc w:val="left"/>
      <w:pPr>
        <w:ind w:left="2624" w:hanging="360"/>
      </w:pPr>
      <w:rPr>
        <w:rFonts w:ascii="Symbol" w:hAnsi="Symbol" w:hint="default"/>
      </w:rPr>
    </w:lvl>
    <w:lvl w:ilvl="4" w:tplc="04050003" w:tentative="1">
      <w:start w:val="1"/>
      <w:numFmt w:val="bullet"/>
      <w:lvlText w:val="o"/>
      <w:lvlJc w:val="left"/>
      <w:pPr>
        <w:ind w:left="3344" w:hanging="360"/>
      </w:pPr>
      <w:rPr>
        <w:rFonts w:ascii="Courier New" w:hAnsi="Courier New" w:cs="Courier New" w:hint="default"/>
      </w:rPr>
    </w:lvl>
    <w:lvl w:ilvl="5" w:tplc="04050005" w:tentative="1">
      <w:start w:val="1"/>
      <w:numFmt w:val="bullet"/>
      <w:lvlText w:val=""/>
      <w:lvlJc w:val="left"/>
      <w:pPr>
        <w:ind w:left="4064" w:hanging="360"/>
      </w:pPr>
      <w:rPr>
        <w:rFonts w:ascii="Wingdings" w:hAnsi="Wingdings" w:hint="default"/>
      </w:rPr>
    </w:lvl>
    <w:lvl w:ilvl="6" w:tplc="04050001" w:tentative="1">
      <w:start w:val="1"/>
      <w:numFmt w:val="bullet"/>
      <w:lvlText w:val=""/>
      <w:lvlJc w:val="left"/>
      <w:pPr>
        <w:ind w:left="4784" w:hanging="360"/>
      </w:pPr>
      <w:rPr>
        <w:rFonts w:ascii="Symbol" w:hAnsi="Symbol" w:hint="default"/>
      </w:rPr>
    </w:lvl>
    <w:lvl w:ilvl="7" w:tplc="04050003" w:tentative="1">
      <w:start w:val="1"/>
      <w:numFmt w:val="bullet"/>
      <w:lvlText w:val="o"/>
      <w:lvlJc w:val="left"/>
      <w:pPr>
        <w:ind w:left="5504" w:hanging="360"/>
      </w:pPr>
      <w:rPr>
        <w:rFonts w:ascii="Courier New" w:hAnsi="Courier New" w:cs="Courier New" w:hint="default"/>
      </w:rPr>
    </w:lvl>
    <w:lvl w:ilvl="8" w:tplc="04050005" w:tentative="1">
      <w:start w:val="1"/>
      <w:numFmt w:val="bullet"/>
      <w:lvlText w:val=""/>
      <w:lvlJc w:val="left"/>
      <w:pPr>
        <w:ind w:left="6224" w:hanging="360"/>
      </w:pPr>
      <w:rPr>
        <w:rFonts w:ascii="Wingdings" w:hAnsi="Wingdings" w:hint="default"/>
      </w:rPr>
    </w:lvl>
  </w:abstractNum>
  <w:abstractNum w:abstractNumId="14" w15:restartNumberingAfterBreak="0">
    <w:nsid w:val="48EA0144"/>
    <w:multiLevelType w:val="multilevel"/>
    <w:tmpl w:val="5ABA1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A20969"/>
    <w:multiLevelType w:val="hybridMultilevel"/>
    <w:tmpl w:val="79645C9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43C408F"/>
    <w:multiLevelType w:val="multilevel"/>
    <w:tmpl w:val="F4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9F10B7"/>
    <w:multiLevelType w:val="multilevel"/>
    <w:tmpl w:val="D86A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FD7F81"/>
    <w:multiLevelType w:val="multilevel"/>
    <w:tmpl w:val="820C6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
  </w:num>
  <w:num w:numId="3">
    <w:abstractNumId w:val="16"/>
  </w:num>
  <w:num w:numId="4">
    <w:abstractNumId w:val="5"/>
  </w:num>
  <w:num w:numId="5">
    <w:abstractNumId w:val="0"/>
  </w:num>
  <w:num w:numId="6">
    <w:abstractNumId w:val="17"/>
  </w:num>
  <w:num w:numId="7">
    <w:abstractNumId w:val="11"/>
  </w:num>
  <w:num w:numId="8">
    <w:abstractNumId w:val="10"/>
  </w:num>
  <w:num w:numId="9">
    <w:abstractNumId w:val="7"/>
  </w:num>
  <w:num w:numId="10">
    <w:abstractNumId w:val="9"/>
  </w:num>
  <w:num w:numId="11">
    <w:abstractNumId w:val="6"/>
  </w:num>
  <w:num w:numId="12">
    <w:abstractNumId w:val="3"/>
  </w:num>
  <w:num w:numId="13">
    <w:abstractNumId w:val="14"/>
  </w:num>
  <w:num w:numId="14">
    <w:abstractNumId w:val="18"/>
  </w:num>
  <w:num w:numId="15">
    <w:abstractNumId w:val="1"/>
  </w:num>
  <w:num w:numId="16">
    <w:abstractNumId w:val="13"/>
  </w:num>
  <w:num w:numId="17">
    <w:abstractNumId w:val="4"/>
  </w:num>
  <w:num w:numId="18">
    <w:abstractNumId w:val="8"/>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52D9"/>
    <w:rsid w:val="00005EF0"/>
    <w:rsid w:val="00010812"/>
    <w:rsid w:val="00014A3B"/>
    <w:rsid w:val="000153FB"/>
    <w:rsid w:val="00015694"/>
    <w:rsid w:val="000262FD"/>
    <w:rsid w:val="00026F23"/>
    <w:rsid w:val="00032AD6"/>
    <w:rsid w:val="00032D94"/>
    <w:rsid w:val="000374D7"/>
    <w:rsid w:val="0004010D"/>
    <w:rsid w:val="0004360D"/>
    <w:rsid w:val="000504BA"/>
    <w:rsid w:val="0005423A"/>
    <w:rsid w:val="00055470"/>
    <w:rsid w:val="00062E18"/>
    <w:rsid w:val="00066A72"/>
    <w:rsid w:val="00067BA6"/>
    <w:rsid w:val="000705A5"/>
    <w:rsid w:val="00070D3C"/>
    <w:rsid w:val="0007340D"/>
    <w:rsid w:val="00073462"/>
    <w:rsid w:val="00076845"/>
    <w:rsid w:val="00076C44"/>
    <w:rsid w:val="000866C0"/>
    <w:rsid w:val="00091509"/>
    <w:rsid w:val="000A06EA"/>
    <w:rsid w:val="000C32B0"/>
    <w:rsid w:val="000C351D"/>
    <w:rsid w:val="000C38CB"/>
    <w:rsid w:val="000C53D6"/>
    <w:rsid w:val="000C7119"/>
    <w:rsid w:val="000C74BD"/>
    <w:rsid w:val="000D11FB"/>
    <w:rsid w:val="000D2DDE"/>
    <w:rsid w:val="000D333C"/>
    <w:rsid w:val="000D6870"/>
    <w:rsid w:val="000E21D2"/>
    <w:rsid w:val="000E286C"/>
    <w:rsid w:val="000F1935"/>
    <w:rsid w:val="000F47AE"/>
    <w:rsid w:val="000F6249"/>
    <w:rsid w:val="00100869"/>
    <w:rsid w:val="00104FCB"/>
    <w:rsid w:val="00106651"/>
    <w:rsid w:val="00107E00"/>
    <w:rsid w:val="00114D66"/>
    <w:rsid w:val="00114E09"/>
    <w:rsid w:val="00115CF8"/>
    <w:rsid w:val="00116173"/>
    <w:rsid w:val="00116A29"/>
    <w:rsid w:val="00117988"/>
    <w:rsid w:val="0012132F"/>
    <w:rsid w:val="0012713E"/>
    <w:rsid w:val="0013044E"/>
    <w:rsid w:val="00131F7B"/>
    <w:rsid w:val="0013512D"/>
    <w:rsid w:val="00136D21"/>
    <w:rsid w:val="00137003"/>
    <w:rsid w:val="00141303"/>
    <w:rsid w:val="001434CE"/>
    <w:rsid w:val="0014388A"/>
    <w:rsid w:val="001449CB"/>
    <w:rsid w:val="00146956"/>
    <w:rsid w:val="00152185"/>
    <w:rsid w:val="00152EDC"/>
    <w:rsid w:val="00153161"/>
    <w:rsid w:val="00155667"/>
    <w:rsid w:val="00160060"/>
    <w:rsid w:val="001603AF"/>
    <w:rsid w:val="001722EA"/>
    <w:rsid w:val="00177E6B"/>
    <w:rsid w:val="0018139F"/>
    <w:rsid w:val="00190C04"/>
    <w:rsid w:val="00194628"/>
    <w:rsid w:val="00194A47"/>
    <w:rsid w:val="00197408"/>
    <w:rsid w:val="00197DE5"/>
    <w:rsid w:val="001A210B"/>
    <w:rsid w:val="001A54DD"/>
    <w:rsid w:val="001B195D"/>
    <w:rsid w:val="001B1C05"/>
    <w:rsid w:val="001B5A35"/>
    <w:rsid w:val="001B5D34"/>
    <w:rsid w:val="001B79AC"/>
    <w:rsid w:val="001C4A67"/>
    <w:rsid w:val="001D3C90"/>
    <w:rsid w:val="001E68DE"/>
    <w:rsid w:val="002108A4"/>
    <w:rsid w:val="00214949"/>
    <w:rsid w:val="00214E98"/>
    <w:rsid w:val="002174D5"/>
    <w:rsid w:val="0022642E"/>
    <w:rsid w:val="002333DA"/>
    <w:rsid w:val="0023472C"/>
    <w:rsid w:val="00237068"/>
    <w:rsid w:val="00237D4E"/>
    <w:rsid w:val="00241313"/>
    <w:rsid w:val="002506AD"/>
    <w:rsid w:val="0025264B"/>
    <w:rsid w:val="00255E96"/>
    <w:rsid w:val="00255FAB"/>
    <w:rsid w:val="002609B2"/>
    <w:rsid w:val="00261C33"/>
    <w:rsid w:val="002636B1"/>
    <w:rsid w:val="002665EC"/>
    <w:rsid w:val="00267A14"/>
    <w:rsid w:val="00267AB1"/>
    <w:rsid w:val="00270DB3"/>
    <w:rsid w:val="0028080D"/>
    <w:rsid w:val="0028211A"/>
    <w:rsid w:val="0029552F"/>
    <w:rsid w:val="00295DB6"/>
    <w:rsid w:val="002A2FB9"/>
    <w:rsid w:val="002A7AE9"/>
    <w:rsid w:val="002B053B"/>
    <w:rsid w:val="002B3EE0"/>
    <w:rsid w:val="002B5B4B"/>
    <w:rsid w:val="002C635D"/>
    <w:rsid w:val="002E2785"/>
    <w:rsid w:val="002E27C5"/>
    <w:rsid w:val="002E2F8E"/>
    <w:rsid w:val="002F0335"/>
    <w:rsid w:val="002F0C79"/>
    <w:rsid w:val="002F5A42"/>
    <w:rsid w:val="002F6814"/>
    <w:rsid w:val="002F68D1"/>
    <w:rsid w:val="00302AE6"/>
    <w:rsid w:val="00303C85"/>
    <w:rsid w:val="0030477F"/>
    <w:rsid w:val="00305EA9"/>
    <w:rsid w:val="00307D0F"/>
    <w:rsid w:val="00312311"/>
    <w:rsid w:val="003128F8"/>
    <w:rsid w:val="0032274C"/>
    <w:rsid w:val="00325CD8"/>
    <w:rsid w:val="00326268"/>
    <w:rsid w:val="00330918"/>
    <w:rsid w:val="00341A59"/>
    <w:rsid w:val="003473B3"/>
    <w:rsid w:val="00347557"/>
    <w:rsid w:val="003504FD"/>
    <w:rsid w:val="00352433"/>
    <w:rsid w:val="0035286E"/>
    <w:rsid w:val="00352D61"/>
    <w:rsid w:val="00356FFC"/>
    <w:rsid w:val="00363124"/>
    <w:rsid w:val="00375451"/>
    <w:rsid w:val="00375CF7"/>
    <w:rsid w:val="00390304"/>
    <w:rsid w:val="0039395A"/>
    <w:rsid w:val="003A7C59"/>
    <w:rsid w:val="003A7C9A"/>
    <w:rsid w:val="003B4B9E"/>
    <w:rsid w:val="003B54D9"/>
    <w:rsid w:val="003B7BFE"/>
    <w:rsid w:val="003C4D4B"/>
    <w:rsid w:val="003D07A2"/>
    <w:rsid w:val="003D2590"/>
    <w:rsid w:val="003D386F"/>
    <w:rsid w:val="003D43DB"/>
    <w:rsid w:val="003D4C73"/>
    <w:rsid w:val="003D556B"/>
    <w:rsid w:val="003D653E"/>
    <w:rsid w:val="003E2ADC"/>
    <w:rsid w:val="003F38E5"/>
    <w:rsid w:val="003F73C3"/>
    <w:rsid w:val="00404CDA"/>
    <w:rsid w:val="0041224F"/>
    <w:rsid w:val="00415BA7"/>
    <w:rsid w:val="00416F40"/>
    <w:rsid w:val="00422B4E"/>
    <w:rsid w:val="0042312B"/>
    <w:rsid w:val="0042625B"/>
    <w:rsid w:val="0043263D"/>
    <w:rsid w:val="004336FA"/>
    <w:rsid w:val="004349B6"/>
    <w:rsid w:val="004413A6"/>
    <w:rsid w:val="00445D0A"/>
    <w:rsid w:val="00453482"/>
    <w:rsid w:val="00453CFE"/>
    <w:rsid w:val="00457E45"/>
    <w:rsid w:val="00467207"/>
    <w:rsid w:val="00476C23"/>
    <w:rsid w:val="004809C7"/>
    <w:rsid w:val="00483A48"/>
    <w:rsid w:val="0048779A"/>
    <w:rsid w:val="00493430"/>
    <w:rsid w:val="00495519"/>
    <w:rsid w:val="00496EFA"/>
    <w:rsid w:val="004A245D"/>
    <w:rsid w:val="004A2E7A"/>
    <w:rsid w:val="004B4992"/>
    <w:rsid w:val="004B73DC"/>
    <w:rsid w:val="004C3C0D"/>
    <w:rsid w:val="004C4033"/>
    <w:rsid w:val="004C5C61"/>
    <w:rsid w:val="004C798D"/>
    <w:rsid w:val="004C7BB5"/>
    <w:rsid w:val="004D4111"/>
    <w:rsid w:val="004D52BD"/>
    <w:rsid w:val="004E1108"/>
    <w:rsid w:val="004E207F"/>
    <w:rsid w:val="004E3877"/>
    <w:rsid w:val="004F0D7B"/>
    <w:rsid w:val="004F2548"/>
    <w:rsid w:val="004F5CC5"/>
    <w:rsid w:val="005039B0"/>
    <w:rsid w:val="00520EA0"/>
    <w:rsid w:val="0052748B"/>
    <w:rsid w:val="005336E7"/>
    <w:rsid w:val="00543BFB"/>
    <w:rsid w:val="00543F98"/>
    <w:rsid w:val="00547816"/>
    <w:rsid w:val="00561757"/>
    <w:rsid w:val="005733BD"/>
    <w:rsid w:val="0057359A"/>
    <w:rsid w:val="00576552"/>
    <w:rsid w:val="005773EE"/>
    <w:rsid w:val="00580B4C"/>
    <w:rsid w:val="00580D50"/>
    <w:rsid w:val="00587B4C"/>
    <w:rsid w:val="0059081F"/>
    <w:rsid w:val="00592071"/>
    <w:rsid w:val="00595E44"/>
    <w:rsid w:val="00596E22"/>
    <w:rsid w:val="005A61D5"/>
    <w:rsid w:val="005A6E1C"/>
    <w:rsid w:val="005A75AE"/>
    <w:rsid w:val="005B13F7"/>
    <w:rsid w:val="005B360B"/>
    <w:rsid w:val="005D3281"/>
    <w:rsid w:val="005D5B42"/>
    <w:rsid w:val="005D7DFF"/>
    <w:rsid w:val="005E443E"/>
    <w:rsid w:val="005E4C96"/>
    <w:rsid w:val="005F31C1"/>
    <w:rsid w:val="006033BD"/>
    <w:rsid w:val="00624C21"/>
    <w:rsid w:val="00640494"/>
    <w:rsid w:val="00646D74"/>
    <w:rsid w:val="00650902"/>
    <w:rsid w:val="0065153C"/>
    <w:rsid w:val="006618CF"/>
    <w:rsid w:val="006620C8"/>
    <w:rsid w:val="006652BA"/>
    <w:rsid w:val="00667000"/>
    <w:rsid w:val="006676D9"/>
    <w:rsid w:val="00673898"/>
    <w:rsid w:val="0067482F"/>
    <w:rsid w:val="00675503"/>
    <w:rsid w:val="00682B2C"/>
    <w:rsid w:val="006849F6"/>
    <w:rsid w:val="00684BC2"/>
    <w:rsid w:val="00684D30"/>
    <w:rsid w:val="006856FF"/>
    <w:rsid w:val="006863D8"/>
    <w:rsid w:val="00690AD8"/>
    <w:rsid w:val="00695734"/>
    <w:rsid w:val="00695EEC"/>
    <w:rsid w:val="006A20B3"/>
    <w:rsid w:val="006B0FE8"/>
    <w:rsid w:val="006B1609"/>
    <w:rsid w:val="006B7FBE"/>
    <w:rsid w:val="006C2E50"/>
    <w:rsid w:val="006C53A7"/>
    <w:rsid w:val="006C6246"/>
    <w:rsid w:val="006C7AE7"/>
    <w:rsid w:val="006D5A9A"/>
    <w:rsid w:val="006E1F02"/>
    <w:rsid w:val="006E3397"/>
    <w:rsid w:val="006F6676"/>
    <w:rsid w:val="0072349E"/>
    <w:rsid w:val="007253E3"/>
    <w:rsid w:val="007255CD"/>
    <w:rsid w:val="007334EA"/>
    <w:rsid w:val="00735F36"/>
    <w:rsid w:val="00737025"/>
    <w:rsid w:val="00737FB2"/>
    <w:rsid w:val="007437EE"/>
    <w:rsid w:val="0075063F"/>
    <w:rsid w:val="00763554"/>
    <w:rsid w:val="007652AE"/>
    <w:rsid w:val="00781039"/>
    <w:rsid w:val="007A5C4C"/>
    <w:rsid w:val="007B0579"/>
    <w:rsid w:val="007B7906"/>
    <w:rsid w:val="007D22BA"/>
    <w:rsid w:val="007D3AB9"/>
    <w:rsid w:val="007D3C35"/>
    <w:rsid w:val="007D4A60"/>
    <w:rsid w:val="007E0AC1"/>
    <w:rsid w:val="007E30B0"/>
    <w:rsid w:val="007E37C0"/>
    <w:rsid w:val="007E6279"/>
    <w:rsid w:val="007F2249"/>
    <w:rsid w:val="007F28B9"/>
    <w:rsid w:val="007F6C2A"/>
    <w:rsid w:val="008020D3"/>
    <w:rsid w:val="00804869"/>
    <w:rsid w:val="00804908"/>
    <w:rsid w:val="0080704C"/>
    <w:rsid w:val="00807BBD"/>
    <w:rsid w:val="008120DB"/>
    <w:rsid w:val="00813665"/>
    <w:rsid w:val="00814698"/>
    <w:rsid w:val="0081479B"/>
    <w:rsid w:val="00815ECC"/>
    <w:rsid w:val="008355CE"/>
    <w:rsid w:val="00835736"/>
    <w:rsid w:val="00836DF0"/>
    <w:rsid w:val="00837AF9"/>
    <w:rsid w:val="00854470"/>
    <w:rsid w:val="00861B39"/>
    <w:rsid w:val="00864D3B"/>
    <w:rsid w:val="00866220"/>
    <w:rsid w:val="008672D5"/>
    <w:rsid w:val="00870A8D"/>
    <w:rsid w:val="00874C32"/>
    <w:rsid w:val="00876E01"/>
    <w:rsid w:val="00882EAC"/>
    <w:rsid w:val="0088428C"/>
    <w:rsid w:val="00887004"/>
    <w:rsid w:val="00892BA9"/>
    <w:rsid w:val="008A04D3"/>
    <w:rsid w:val="008A4334"/>
    <w:rsid w:val="008C3AC7"/>
    <w:rsid w:val="008C5342"/>
    <w:rsid w:val="008C692E"/>
    <w:rsid w:val="008C7A52"/>
    <w:rsid w:val="008D26CF"/>
    <w:rsid w:val="008D4344"/>
    <w:rsid w:val="008E0C1C"/>
    <w:rsid w:val="008E4A71"/>
    <w:rsid w:val="008E5FF5"/>
    <w:rsid w:val="00906147"/>
    <w:rsid w:val="0091561E"/>
    <w:rsid w:val="00915ADA"/>
    <w:rsid w:val="00917467"/>
    <w:rsid w:val="00922831"/>
    <w:rsid w:val="00922872"/>
    <w:rsid w:val="00924030"/>
    <w:rsid w:val="0093538A"/>
    <w:rsid w:val="009362DC"/>
    <w:rsid w:val="00937D6D"/>
    <w:rsid w:val="00937EF5"/>
    <w:rsid w:val="00940EA3"/>
    <w:rsid w:val="0095216F"/>
    <w:rsid w:val="0095680F"/>
    <w:rsid w:val="00960235"/>
    <w:rsid w:val="009612EF"/>
    <w:rsid w:val="00962D05"/>
    <w:rsid w:val="0096488C"/>
    <w:rsid w:val="00965007"/>
    <w:rsid w:val="00967EDE"/>
    <w:rsid w:val="009706CE"/>
    <w:rsid w:val="0097633B"/>
    <w:rsid w:val="00976A70"/>
    <w:rsid w:val="00982774"/>
    <w:rsid w:val="00983C40"/>
    <w:rsid w:val="00986C46"/>
    <w:rsid w:val="009911D2"/>
    <w:rsid w:val="009A1543"/>
    <w:rsid w:val="009A6BB3"/>
    <w:rsid w:val="009B4FF9"/>
    <w:rsid w:val="009C0793"/>
    <w:rsid w:val="009C0ECA"/>
    <w:rsid w:val="009C138D"/>
    <w:rsid w:val="009C1B84"/>
    <w:rsid w:val="009C535B"/>
    <w:rsid w:val="009C7478"/>
    <w:rsid w:val="009D23D9"/>
    <w:rsid w:val="009D2988"/>
    <w:rsid w:val="009D556F"/>
    <w:rsid w:val="009D6FFC"/>
    <w:rsid w:val="009E3060"/>
    <w:rsid w:val="009E317D"/>
    <w:rsid w:val="009E6ADA"/>
    <w:rsid w:val="009F0FAC"/>
    <w:rsid w:val="009F2CB2"/>
    <w:rsid w:val="009F42D5"/>
    <w:rsid w:val="009F59EE"/>
    <w:rsid w:val="00A00614"/>
    <w:rsid w:val="00A06687"/>
    <w:rsid w:val="00A11002"/>
    <w:rsid w:val="00A15C5F"/>
    <w:rsid w:val="00A1706A"/>
    <w:rsid w:val="00A2129E"/>
    <w:rsid w:val="00A267CE"/>
    <w:rsid w:val="00A34404"/>
    <w:rsid w:val="00A345F7"/>
    <w:rsid w:val="00A351F4"/>
    <w:rsid w:val="00A35204"/>
    <w:rsid w:val="00A35900"/>
    <w:rsid w:val="00A36D79"/>
    <w:rsid w:val="00A51DB8"/>
    <w:rsid w:val="00A526C9"/>
    <w:rsid w:val="00A52E40"/>
    <w:rsid w:val="00A644DF"/>
    <w:rsid w:val="00A661EE"/>
    <w:rsid w:val="00A672EA"/>
    <w:rsid w:val="00A67865"/>
    <w:rsid w:val="00A706DB"/>
    <w:rsid w:val="00A75581"/>
    <w:rsid w:val="00A80A8B"/>
    <w:rsid w:val="00A85069"/>
    <w:rsid w:val="00A86EF2"/>
    <w:rsid w:val="00A902B4"/>
    <w:rsid w:val="00A969E4"/>
    <w:rsid w:val="00AA13C3"/>
    <w:rsid w:val="00AA1EF9"/>
    <w:rsid w:val="00AA3C5C"/>
    <w:rsid w:val="00AC0B97"/>
    <w:rsid w:val="00AC14FC"/>
    <w:rsid w:val="00AC1B87"/>
    <w:rsid w:val="00AD3089"/>
    <w:rsid w:val="00AE4CC4"/>
    <w:rsid w:val="00AE662F"/>
    <w:rsid w:val="00AE7AFA"/>
    <w:rsid w:val="00AF080F"/>
    <w:rsid w:val="00AF0BE0"/>
    <w:rsid w:val="00AF2D1B"/>
    <w:rsid w:val="00B00B35"/>
    <w:rsid w:val="00B03608"/>
    <w:rsid w:val="00B0598D"/>
    <w:rsid w:val="00B066DB"/>
    <w:rsid w:val="00B0741A"/>
    <w:rsid w:val="00B13DF1"/>
    <w:rsid w:val="00B15FD4"/>
    <w:rsid w:val="00B177AF"/>
    <w:rsid w:val="00B21A92"/>
    <w:rsid w:val="00B21D7F"/>
    <w:rsid w:val="00B244B9"/>
    <w:rsid w:val="00B24AB2"/>
    <w:rsid w:val="00B26C1E"/>
    <w:rsid w:val="00B278D2"/>
    <w:rsid w:val="00B30195"/>
    <w:rsid w:val="00B3074F"/>
    <w:rsid w:val="00B34562"/>
    <w:rsid w:val="00B41012"/>
    <w:rsid w:val="00B45ED0"/>
    <w:rsid w:val="00B45F71"/>
    <w:rsid w:val="00B46015"/>
    <w:rsid w:val="00B52B36"/>
    <w:rsid w:val="00B6512E"/>
    <w:rsid w:val="00B65A3B"/>
    <w:rsid w:val="00B708C9"/>
    <w:rsid w:val="00B70A80"/>
    <w:rsid w:val="00B7116F"/>
    <w:rsid w:val="00B714D3"/>
    <w:rsid w:val="00B7285B"/>
    <w:rsid w:val="00B777C3"/>
    <w:rsid w:val="00B80003"/>
    <w:rsid w:val="00B81F38"/>
    <w:rsid w:val="00B86D21"/>
    <w:rsid w:val="00B95EBA"/>
    <w:rsid w:val="00BA29AE"/>
    <w:rsid w:val="00BA6059"/>
    <w:rsid w:val="00BA6DBC"/>
    <w:rsid w:val="00BB0801"/>
    <w:rsid w:val="00BB5F03"/>
    <w:rsid w:val="00BC1BA1"/>
    <w:rsid w:val="00BC30D1"/>
    <w:rsid w:val="00BD18EA"/>
    <w:rsid w:val="00BD25BD"/>
    <w:rsid w:val="00BD26AB"/>
    <w:rsid w:val="00BD6A7F"/>
    <w:rsid w:val="00BD7095"/>
    <w:rsid w:val="00BE127F"/>
    <w:rsid w:val="00BE34DD"/>
    <w:rsid w:val="00BF0F80"/>
    <w:rsid w:val="00BF1CB0"/>
    <w:rsid w:val="00BF4FA6"/>
    <w:rsid w:val="00C00860"/>
    <w:rsid w:val="00C05509"/>
    <w:rsid w:val="00C12B80"/>
    <w:rsid w:val="00C1553C"/>
    <w:rsid w:val="00C16A07"/>
    <w:rsid w:val="00C306CA"/>
    <w:rsid w:val="00C35BFC"/>
    <w:rsid w:val="00C36818"/>
    <w:rsid w:val="00C36AC8"/>
    <w:rsid w:val="00C36E73"/>
    <w:rsid w:val="00C40157"/>
    <w:rsid w:val="00C42096"/>
    <w:rsid w:val="00C505D4"/>
    <w:rsid w:val="00C50A39"/>
    <w:rsid w:val="00C51E90"/>
    <w:rsid w:val="00C5726E"/>
    <w:rsid w:val="00C6048F"/>
    <w:rsid w:val="00C63E32"/>
    <w:rsid w:val="00C64B40"/>
    <w:rsid w:val="00C7462C"/>
    <w:rsid w:val="00C85AB7"/>
    <w:rsid w:val="00C86EBC"/>
    <w:rsid w:val="00CA3FE4"/>
    <w:rsid w:val="00CB1985"/>
    <w:rsid w:val="00CB7416"/>
    <w:rsid w:val="00CC32D9"/>
    <w:rsid w:val="00CC5BEB"/>
    <w:rsid w:val="00CC7C89"/>
    <w:rsid w:val="00CD1C31"/>
    <w:rsid w:val="00CD3324"/>
    <w:rsid w:val="00CD3C1E"/>
    <w:rsid w:val="00CD6EEC"/>
    <w:rsid w:val="00CE2578"/>
    <w:rsid w:val="00CE3577"/>
    <w:rsid w:val="00CF10DA"/>
    <w:rsid w:val="00CF2718"/>
    <w:rsid w:val="00CF3762"/>
    <w:rsid w:val="00D01832"/>
    <w:rsid w:val="00D047B7"/>
    <w:rsid w:val="00D132FF"/>
    <w:rsid w:val="00D16F9E"/>
    <w:rsid w:val="00D21B27"/>
    <w:rsid w:val="00D223BF"/>
    <w:rsid w:val="00D22A67"/>
    <w:rsid w:val="00D245D2"/>
    <w:rsid w:val="00D25B0B"/>
    <w:rsid w:val="00D31127"/>
    <w:rsid w:val="00D31FA8"/>
    <w:rsid w:val="00D35A90"/>
    <w:rsid w:val="00D36065"/>
    <w:rsid w:val="00D40D11"/>
    <w:rsid w:val="00D423AD"/>
    <w:rsid w:val="00D46528"/>
    <w:rsid w:val="00D46E13"/>
    <w:rsid w:val="00D4733D"/>
    <w:rsid w:val="00D53085"/>
    <w:rsid w:val="00D618AD"/>
    <w:rsid w:val="00D63DD3"/>
    <w:rsid w:val="00D777C9"/>
    <w:rsid w:val="00D80B6D"/>
    <w:rsid w:val="00D82E2D"/>
    <w:rsid w:val="00D8513A"/>
    <w:rsid w:val="00D87CCE"/>
    <w:rsid w:val="00D9306C"/>
    <w:rsid w:val="00DA327C"/>
    <w:rsid w:val="00DA576C"/>
    <w:rsid w:val="00DA6D6A"/>
    <w:rsid w:val="00DA7689"/>
    <w:rsid w:val="00DA78FC"/>
    <w:rsid w:val="00DB365A"/>
    <w:rsid w:val="00DB4335"/>
    <w:rsid w:val="00DB7664"/>
    <w:rsid w:val="00DC6AB6"/>
    <w:rsid w:val="00DD1EC1"/>
    <w:rsid w:val="00DE448F"/>
    <w:rsid w:val="00DE75F4"/>
    <w:rsid w:val="00DE7CE1"/>
    <w:rsid w:val="00DF006F"/>
    <w:rsid w:val="00DF2A53"/>
    <w:rsid w:val="00DF388B"/>
    <w:rsid w:val="00E04F7B"/>
    <w:rsid w:val="00E121F2"/>
    <w:rsid w:val="00E16FE8"/>
    <w:rsid w:val="00E17539"/>
    <w:rsid w:val="00E343B0"/>
    <w:rsid w:val="00E364A9"/>
    <w:rsid w:val="00E400AA"/>
    <w:rsid w:val="00E4768E"/>
    <w:rsid w:val="00E47BA7"/>
    <w:rsid w:val="00E57D1A"/>
    <w:rsid w:val="00E608E3"/>
    <w:rsid w:val="00E60E78"/>
    <w:rsid w:val="00E669EF"/>
    <w:rsid w:val="00E67800"/>
    <w:rsid w:val="00E71D31"/>
    <w:rsid w:val="00E72BA8"/>
    <w:rsid w:val="00E804FF"/>
    <w:rsid w:val="00E83CCD"/>
    <w:rsid w:val="00E847E6"/>
    <w:rsid w:val="00E856C2"/>
    <w:rsid w:val="00E90FB8"/>
    <w:rsid w:val="00E938B3"/>
    <w:rsid w:val="00E9495C"/>
    <w:rsid w:val="00EA29EC"/>
    <w:rsid w:val="00EA47AD"/>
    <w:rsid w:val="00EB06C5"/>
    <w:rsid w:val="00EB1535"/>
    <w:rsid w:val="00EB26B3"/>
    <w:rsid w:val="00EB4375"/>
    <w:rsid w:val="00EB5B94"/>
    <w:rsid w:val="00EC046B"/>
    <w:rsid w:val="00EC75DD"/>
    <w:rsid w:val="00ED4C36"/>
    <w:rsid w:val="00EE520F"/>
    <w:rsid w:val="00EE6C6D"/>
    <w:rsid w:val="00EF62F8"/>
    <w:rsid w:val="00F040CA"/>
    <w:rsid w:val="00F04FF5"/>
    <w:rsid w:val="00F06420"/>
    <w:rsid w:val="00F06844"/>
    <w:rsid w:val="00F161D2"/>
    <w:rsid w:val="00F257ED"/>
    <w:rsid w:val="00F27366"/>
    <w:rsid w:val="00F30BB8"/>
    <w:rsid w:val="00F33E63"/>
    <w:rsid w:val="00F366A6"/>
    <w:rsid w:val="00F37E08"/>
    <w:rsid w:val="00F44AEB"/>
    <w:rsid w:val="00F45620"/>
    <w:rsid w:val="00F52462"/>
    <w:rsid w:val="00F542F8"/>
    <w:rsid w:val="00F61061"/>
    <w:rsid w:val="00F64A9E"/>
    <w:rsid w:val="00F655E3"/>
    <w:rsid w:val="00F65A7D"/>
    <w:rsid w:val="00F739AD"/>
    <w:rsid w:val="00F76B0E"/>
    <w:rsid w:val="00F7782E"/>
    <w:rsid w:val="00F8482C"/>
    <w:rsid w:val="00F84DCA"/>
    <w:rsid w:val="00F95B39"/>
    <w:rsid w:val="00FA0F28"/>
    <w:rsid w:val="00FA1AF3"/>
    <w:rsid w:val="00FB551F"/>
    <w:rsid w:val="00FB7593"/>
    <w:rsid w:val="00FC1254"/>
    <w:rsid w:val="00FC33AA"/>
    <w:rsid w:val="00FD5578"/>
    <w:rsid w:val="00FE28BC"/>
    <w:rsid w:val="00FE3A27"/>
    <w:rsid w:val="00FE6DB7"/>
    <w:rsid w:val="00FE7E9A"/>
    <w:rsid w:val="00FF3A4B"/>
    <w:rsid w:val="00FF5DC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920B6"/>
  <w15:docId w15:val="{9527DFC0-C2EA-4679-B81A-02DF3229A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paragraph" w:styleId="Nadpis4">
    <w:name w:val="heading 4"/>
    <w:basedOn w:val="Normln"/>
    <w:next w:val="Normln"/>
    <w:link w:val="Nadpis4Char"/>
    <w:uiPriority w:val="9"/>
    <w:semiHidden/>
    <w:unhideWhenUsed/>
    <w:qFormat/>
    <w:rsid w:val="00FE6DB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13512D"/>
    <w:rPr>
      <w:sz w:val="16"/>
      <w:szCs w:val="16"/>
    </w:rPr>
  </w:style>
  <w:style w:type="paragraph" w:styleId="Textkomente">
    <w:name w:val="annotation text"/>
    <w:basedOn w:val="Normln"/>
    <w:link w:val="TextkomenteChar"/>
    <w:uiPriority w:val="99"/>
    <w:semiHidden/>
    <w:unhideWhenUsed/>
    <w:rsid w:val="0013512D"/>
    <w:rPr>
      <w:sz w:val="20"/>
      <w:szCs w:val="20"/>
    </w:rPr>
  </w:style>
  <w:style w:type="character" w:customStyle="1" w:styleId="TextkomenteChar">
    <w:name w:val="Text komentáře Char"/>
    <w:basedOn w:val="Standardnpsmoodstavce"/>
    <w:link w:val="Textkomente"/>
    <w:uiPriority w:val="99"/>
    <w:semiHidden/>
    <w:rsid w:val="0013512D"/>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13512D"/>
    <w:rPr>
      <w:b/>
      <w:bCs/>
    </w:rPr>
  </w:style>
  <w:style w:type="character" w:customStyle="1" w:styleId="PedmtkomenteChar">
    <w:name w:val="Předmět komentáře Char"/>
    <w:basedOn w:val="TextkomenteChar"/>
    <w:link w:val="Pedmtkomente"/>
    <w:uiPriority w:val="99"/>
    <w:semiHidden/>
    <w:rsid w:val="0013512D"/>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13512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3512D"/>
    <w:rPr>
      <w:rFonts w:ascii="Segoe UI" w:eastAsia="F015TEELig" w:hAnsi="Segoe UI" w:cs="Segoe UI"/>
      <w:sz w:val="18"/>
      <w:szCs w:val="18"/>
      <w:lang w:val="cs-CZ" w:eastAsia="cs-CZ" w:bidi="cs-CZ"/>
    </w:rPr>
  </w:style>
  <w:style w:type="character" w:styleId="Siln">
    <w:name w:val="Strong"/>
    <w:basedOn w:val="Standardnpsmoodstavce"/>
    <w:uiPriority w:val="22"/>
    <w:qFormat/>
    <w:rsid w:val="00854470"/>
    <w:rPr>
      <w:b/>
      <w:bCs/>
    </w:rPr>
  </w:style>
  <w:style w:type="character" w:styleId="Sledovanodkaz">
    <w:name w:val="FollowedHyperlink"/>
    <w:basedOn w:val="Standardnpsmoodstavce"/>
    <w:uiPriority w:val="99"/>
    <w:semiHidden/>
    <w:unhideWhenUsed/>
    <w:rsid w:val="00C6048F"/>
    <w:rPr>
      <w:color w:val="800080" w:themeColor="followedHyperlink"/>
      <w:u w:val="single"/>
    </w:rPr>
  </w:style>
  <w:style w:type="character" w:styleId="Zdraznn">
    <w:name w:val="Emphasis"/>
    <w:basedOn w:val="Standardnpsmoodstavce"/>
    <w:uiPriority w:val="20"/>
    <w:qFormat/>
    <w:rsid w:val="00D87CCE"/>
    <w:rPr>
      <w:i/>
      <w:iCs/>
    </w:rPr>
  </w:style>
  <w:style w:type="character" w:customStyle="1" w:styleId="Nadpis4Char">
    <w:name w:val="Nadpis 4 Char"/>
    <w:basedOn w:val="Standardnpsmoodstavce"/>
    <w:link w:val="Nadpis4"/>
    <w:uiPriority w:val="9"/>
    <w:semiHidden/>
    <w:rsid w:val="00FE6DB7"/>
    <w:rPr>
      <w:rFonts w:asciiTheme="majorHAnsi" w:eastAsiaTheme="majorEastAsia" w:hAnsiTheme="majorHAnsi" w:cstheme="majorBidi"/>
      <w:i/>
      <w:iCs/>
      <w:color w:val="365F91" w:themeColor="accent1" w:themeShade="BF"/>
      <w:lang w:val="cs-CZ" w:eastAsia="cs-CZ" w:bidi="cs-CZ"/>
    </w:rPr>
  </w:style>
  <w:style w:type="character" w:customStyle="1" w:styleId="article-hl">
    <w:name w:val="article-hl"/>
    <w:basedOn w:val="Standardnpsmoodstavce"/>
    <w:rsid w:val="00F366A6"/>
  </w:style>
  <w:style w:type="paragraph" w:customStyle="1" w:styleId="para">
    <w:name w:val="para"/>
    <w:basedOn w:val="Normln"/>
    <w:rsid w:val="009D23D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s1">
    <w:name w:val="s1"/>
    <w:basedOn w:val="Standardnpsmoodstavce"/>
    <w:rsid w:val="000262FD"/>
  </w:style>
  <w:style w:type="character" w:customStyle="1" w:styleId="s3">
    <w:name w:val="s3"/>
    <w:basedOn w:val="Standardnpsmoodstavce"/>
    <w:rsid w:val="000262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5030">
      <w:bodyDiv w:val="1"/>
      <w:marLeft w:val="0"/>
      <w:marRight w:val="0"/>
      <w:marTop w:val="0"/>
      <w:marBottom w:val="0"/>
      <w:divBdr>
        <w:top w:val="none" w:sz="0" w:space="0" w:color="auto"/>
        <w:left w:val="none" w:sz="0" w:space="0" w:color="auto"/>
        <w:bottom w:val="none" w:sz="0" w:space="0" w:color="auto"/>
        <w:right w:val="none" w:sz="0" w:space="0" w:color="auto"/>
      </w:divBdr>
    </w:div>
    <w:div w:id="41633700">
      <w:bodyDiv w:val="1"/>
      <w:marLeft w:val="0"/>
      <w:marRight w:val="0"/>
      <w:marTop w:val="0"/>
      <w:marBottom w:val="0"/>
      <w:divBdr>
        <w:top w:val="none" w:sz="0" w:space="0" w:color="auto"/>
        <w:left w:val="none" w:sz="0" w:space="0" w:color="auto"/>
        <w:bottom w:val="none" w:sz="0" w:space="0" w:color="auto"/>
        <w:right w:val="none" w:sz="0" w:space="0" w:color="auto"/>
      </w:divBdr>
    </w:div>
    <w:div w:id="246965266">
      <w:bodyDiv w:val="1"/>
      <w:marLeft w:val="0"/>
      <w:marRight w:val="0"/>
      <w:marTop w:val="0"/>
      <w:marBottom w:val="0"/>
      <w:divBdr>
        <w:top w:val="none" w:sz="0" w:space="0" w:color="auto"/>
        <w:left w:val="none" w:sz="0" w:space="0" w:color="auto"/>
        <w:bottom w:val="none" w:sz="0" w:space="0" w:color="auto"/>
        <w:right w:val="none" w:sz="0" w:space="0" w:color="auto"/>
      </w:divBdr>
    </w:div>
    <w:div w:id="290669661">
      <w:bodyDiv w:val="1"/>
      <w:marLeft w:val="0"/>
      <w:marRight w:val="0"/>
      <w:marTop w:val="0"/>
      <w:marBottom w:val="0"/>
      <w:divBdr>
        <w:top w:val="none" w:sz="0" w:space="0" w:color="auto"/>
        <w:left w:val="none" w:sz="0" w:space="0" w:color="auto"/>
        <w:bottom w:val="none" w:sz="0" w:space="0" w:color="auto"/>
        <w:right w:val="none" w:sz="0" w:space="0" w:color="auto"/>
      </w:divBdr>
    </w:div>
    <w:div w:id="403189765">
      <w:bodyDiv w:val="1"/>
      <w:marLeft w:val="0"/>
      <w:marRight w:val="0"/>
      <w:marTop w:val="0"/>
      <w:marBottom w:val="0"/>
      <w:divBdr>
        <w:top w:val="none" w:sz="0" w:space="0" w:color="auto"/>
        <w:left w:val="none" w:sz="0" w:space="0" w:color="auto"/>
        <w:bottom w:val="none" w:sz="0" w:space="0" w:color="auto"/>
        <w:right w:val="none" w:sz="0" w:space="0" w:color="auto"/>
      </w:divBdr>
    </w:div>
    <w:div w:id="596407247">
      <w:bodyDiv w:val="1"/>
      <w:marLeft w:val="0"/>
      <w:marRight w:val="0"/>
      <w:marTop w:val="0"/>
      <w:marBottom w:val="0"/>
      <w:divBdr>
        <w:top w:val="none" w:sz="0" w:space="0" w:color="auto"/>
        <w:left w:val="none" w:sz="0" w:space="0" w:color="auto"/>
        <w:bottom w:val="none" w:sz="0" w:space="0" w:color="auto"/>
        <w:right w:val="none" w:sz="0" w:space="0" w:color="auto"/>
      </w:divBdr>
    </w:div>
    <w:div w:id="596714065">
      <w:bodyDiv w:val="1"/>
      <w:marLeft w:val="0"/>
      <w:marRight w:val="0"/>
      <w:marTop w:val="0"/>
      <w:marBottom w:val="0"/>
      <w:divBdr>
        <w:top w:val="none" w:sz="0" w:space="0" w:color="auto"/>
        <w:left w:val="none" w:sz="0" w:space="0" w:color="auto"/>
        <w:bottom w:val="none" w:sz="0" w:space="0" w:color="auto"/>
        <w:right w:val="none" w:sz="0" w:space="0" w:color="auto"/>
      </w:divBdr>
    </w:div>
    <w:div w:id="646980846">
      <w:bodyDiv w:val="1"/>
      <w:marLeft w:val="0"/>
      <w:marRight w:val="0"/>
      <w:marTop w:val="0"/>
      <w:marBottom w:val="0"/>
      <w:divBdr>
        <w:top w:val="none" w:sz="0" w:space="0" w:color="auto"/>
        <w:left w:val="none" w:sz="0" w:space="0" w:color="auto"/>
        <w:bottom w:val="none" w:sz="0" w:space="0" w:color="auto"/>
        <w:right w:val="none" w:sz="0" w:space="0" w:color="auto"/>
      </w:divBdr>
    </w:div>
    <w:div w:id="671687975">
      <w:bodyDiv w:val="1"/>
      <w:marLeft w:val="0"/>
      <w:marRight w:val="0"/>
      <w:marTop w:val="0"/>
      <w:marBottom w:val="0"/>
      <w:divBdr>
        <w:top w:val="none" w:sz="0" w:space="0" w:color="auto"/>
        <w:left w:val="none" w:sz="0" w:space="0" w:color="auto"/>
        <w:bottom w:val="none" w:sz="0" w:space="0" w:color="auto"/>
        <w:right w:val="none" w:sz="0" w:space="0" w:color="auto"/>
      </w:divBdr>
    </w:div>
    <w:div w:id="736125264">
      <w:bodyDiv w:val="1"/>
      <w:marLeft w:val="0"/>
      <w:marRight w:val="0"/>
      <w:marTop w:val="0"/>
      <w:marBottom w:val="0"/>
      <w:divBdr>
        <w:top w:val="none" w:sz="0" w:space="0" w:color="auto"/>
        <w:left w:val="none" w:sz="0" w:space="0" w:color="auto"/>
        <w:bottom w:val="none" w:sz="0" w:space="0" w:color="auto"/>
        <w:right w:val="none" w:sz="0" w:space="0" w:color="auto"/>
      </w:divBdr>
    </w:div>
    <w:div w:id="740102292">
      <w:bodyDiv w:val="1"/>
      <w:marLeft w:val="0"/>
      <w:marRight w:val="0"/>
      <w:marTop w:val="0"/>
      <w:marBottom w:val="0"/>
      <w:divBdr>
        <w:top w:val="none" w:sz="0" w:space="0" w:color="auto"/>
        <w:left w:val="none" w:sz="0" w:space="0" w:color="auto"/>
        <w:bottom w:val="none" w:sz="0" w:space="0" w:color="auto"/>
        <w:right w:val="none" w:sz="0" w:space="0" w:color="auto"/>
      </w:divBdr>
    </w:div>
    <w:div w:id="905144523">
      <w:bodyDiv w:val="1"/>
      <w:marLeft w:val="0"/>
      <w:marRight w:val="0"/>
      <w:marTop w:val="0"/>
      <w:marBottom w:val="0"/>
      <w:divBdr>
        <w:top w:val="none" w:sz="0" w:space="0" w:color="auto"/>
        <w:left w:val="none" w:sz="0" w:space="0" w:color="auto"/>
        <w:bottom w:val="none" w:sz="0" w:space="0" w:color="auto"/>
        <w:right w:val="none" w:sz="0" w:space="0" w:color="auto"/>
      </w:divBdr>
    </w:div>
    <w:div w:id="1042709059">
      <w:bodyDiv w:val="1"/>
      <w:marLeft w:val="0"/>
      <w:marRight w:val="0"/>
      <w:marTop w:val="0"/>
      <w:marBottom w:val="0"/>
      <w:divBdr>
        <w:top w:val="none" w:sz="0" w:space="0" w:color="auto"/>
        <w:left w:val="none" w:sz="0" w:space="0" w:color="auto"/>
        <w:bottom w:val="none" w:sz="0" w:space="0" w:color="auto"/>
        <w:right w:val="none" w:sz="0" w:space="0" w:color="auto"/>
      </w:divBdr>
    </w:div>
    <w:div w:id="1171527072">
      <w:bodyDiv w:val="1"/>
      <w:marLeft w:val="0"/>
      <w:marRight w:val="0"/>
      <w:marTop w:val="0"/>
      <w:marBottom w:val="0"/>
      <w:divBdr>
        <w:top w:val="none" w:sz="0" w:space="0" w:color="auto"/>
        <w:left w:val="none" w:sz="0" w:space="0" w:color="auto"/>
        <w:bottom w:val="none" w:sz="0" w:space="0" w:color="auto"/>
        <w:right w:val="none" w:sz="0" w:space="0" w:color="auto"/>
      </w:divBdr>
    </w:div>
    <w:div w:id="1187644287">
      <w:bodyDiv w:val="1"/>
      <w:marLeft w:val="0"/>
      <w:marRight w:val="0"/>
      <w:marTop w:val="0"/>
      <w:marBottom w:val="0"/>
      <w:divBdr>
        <w:top w:val="none" w:sz="0" w:space="0" w:color="auto"/>
        <w:left w:val="none" w:sz="0" w:space="0" w:color="auto"/>
        <w:bottom w:val="none" w:sz="0" w:space="0" w:color="auto"/>
        <w:right w:val="none" w:sz="0" w:space="0" w:color="auto"/>
      </w:divBdr>
    </w:div>
    <w:div w:id="1327051919">
      <w:bodyDiv w:val="1"/>
      <w:marLeft w:val="0"/>
      <w:marRight w:val="0"/>
      <w:marTop w:val="0"/>
      <w:marBottom w:val="0"/>
      <w:divBdr>
        <w:top w:val="none" w:sz="0" w:space="0" w:color="auto"/>
        <w:left w:val="none" w:sz="0" w:space="0" w:color="auto"/>
        <w:bottom w:val="none" w:sz="0" w:space="0" w:color="auto"/>
        <w:right w:val="none" w:sz="0" w:space="0" w:color="auto"/>
      </w:divBdr>
    </w:div>
    <w:div w:id="1361279828">
      <w:bodyDiv w:val="1"/>
      <w:marLeft w:val="0"/>
      <w:marRight w:val="0"/>
      <w:marTop w:val="0"/>
      <w:marBottom w:val="0"/>
      <w:divBdr>
        <w:top w:val="none" w:sz="0" w:space="0" w:color="auto"/>
        <w:left w:val="none" w:sz="0" w:space="0" w:color="auto"/>
        <w:bottom w:val="none" w:sz="0" w:space="0" w:color="auto"/>
        <w:right w:val="none" w:sz="0" w:space="0" w:color="auto"/>
      </w:divBdr>
    </w:div>
    <w:div w:id="1648821701">
      <w:bodyDiv w:val="1"/>
      <w:marLeft w:val="0"/>
      <w:marRight w:val="0"/>
      <w:marTop w:val="0"/>
      <w:marBottom w:val="0"/>
      <w:divBdr>
        <w:top w:val="none" w:sz="0" w:space="0" w:color="auto"/>
        <w:left w:val="none" w:sz="0" w:space="0" w:color="auto"/>
        <w:bottom w:val="none" w:sz="0" w:space="0" w:color="auto"/>
        <w:right w:val="none" w:sz="0" w:space="0" w:color="auto"/>
      </w:divBdr>
    </w:div>
    <w:div w:id="1689060472">
      <w:bodyDiv w:val="1"/>
      <w:marLeft w:val="0"/>
      <w:marRight w:val="0"/>
      <w:marTop w:val="0"/>
      <w:marBottom w:val="0"/>
      <w:divBdr>
        <w:top w:val="none" w:sz="0" w:space="0" w:color="auto"/>
        <w:left w:val="none" w:sz="0" w:space="0" w:color="auto"/>
        <w:bottom w:val="none" w:sz="0" w:space="0" w:color="auto"/>
        <w:right w:val="none" w:sz="0" w:space="0" w:color="auto"/>
      </w:divBdr>
    </w:div>
    <w:div w:id="1766223158">
      <w:bodyDiv w:val="1"/>
      <w:marLeft w:val="0"/>
      <w:marRight w:val="0"/>
      <w:marTop w:val="0"/>
      <w:marBottom w:val="0"/>
      <w:divBdr>
        <w:top w:val="none" w:sz="0" w:space="0" w:color="auto"/>
        <w:left w:val="none" w:sz="0" w:space="0" w:color="auto"/>
        <w:bottom w:val="none" w:sz="0" w:space="0" w:color="auto"/>
        <w:right w:val="none" w:sz="0" w:space="0" w:color="auto"/>
      </w:divBdr>
    </w:div>
    <w:div w:id="1857574927">
      <w:bodyDiv w:val="1"/>
      <w:marLeft w:val="0"/>
      <w:marRight w:val="0"/>
      <w:marTop w:val="0"/>
      <w:marBottom w:val="0"/>
      <w:divBdr>
        <w:top w:val="none" w:sz="0" w:space="0" w:color="auto"/>
        <w:left w:val="none" w:sz="0" w:space="0" w:color="auto"/>
        <w:bottom w:val="none" w:sz="0" w:space="0" w:color="auto"/>
        <w:right w:val="none" w:sz="0" w:space="0" w:color="auto"/>
      </w:divBdr>
    </w:div>
    <w:div w:id="1927689652">
      <w:bodyDiv w:val="1"/>
      <w:marLeft w:val="0"/>
      <w:marRight w:val="0"/>
      <w:marTop w:val="0"/>
      <w:marBottom w:val="0"/>
      <w:divBdr>
        <w:top w:val="none" w:sz="0" w:space="0" w:color="auto"/>
        <w:left w:val="none" w:sz="0" w:space="0" w:color="auto"/>
        <w:bottom w:val="none" w:sz="0" w:space="0" w:color="auto"/>
        <w:right w:val="none" w:sz="0" w:space="0" w:color="auto"/>
      </w:divBdr>
    </w:div>
    <w:div w:id="1984852318">
      <w:bodyDiv w:val="1"/>
      <w:marLeft w:val="0"/>
      <w:marRight w:val="0"/>
      <w:marTop w:val="0"/>
      <w:marBottom w:val="0"/>
      <w:divBdr>
        <w:top w:val="none" w:sz="0" w:space="0" w:color="auto"/>
        <w:left w:val="none" w:sz="0" w:space="0" w:color="auto"/>
        <w:bottom w:val="none" w:sz="0" w:space="0" w:color="auto"/>
        <w:right w:val="none" w:sz="0" w:space="0" w:color="auto"/>
      </w:divBdr>
    </w:div>
    <w:div w:id="2106224207">
      <w:bodyDiv w:val="1"/>
      <w:marLeft w:val="0"/>
      <w:marRight w:val="0"/>
      <w:marTop w:val="0"/>
      <w:marBottom w:val="0"/>
      <w:divBdr>
        <w:top w:val="none" w:sz="0" w:space="0" w:color="auto"/>
        <w:left w:val="none" w:sz="0" w:space="0" w:color="auto"/>
        <w:bottom w:val="none" w:sz="0" w:space="0" w:color="auto"/>
        <w:right w:val="none" w:sz="0" w:space="0" w:color="auto"/>
      </w:divBdr>
    </w:div>
    <w:div w:id="2112628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hyperlink" Target="mailto:tereza.kunova@bcas.cz"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4.xml"/><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2DEEB4-1D49-487F-831F-1F90DD756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3</Pages>
  <Words>923</Words>
  <Characters>5446</Characters>
  <Application>Microsoft Office Word</Application>
  <DocSecurity>0</DocSecurity>
  <Lines>45</Lines>
  <Paragraphs>12</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Tereza Kunová</cp:lastModifiedBy>
  <cp:revision>18</cp:revision>
  <dcterms:created xsi:type="dcterms:W3CDTF">2022-01-20T17:25:00Z</dcterms:created>
  <dcterms:modified xsi:type="dcterms:W3CDTF">2022-02-21T09:55:00Z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