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7C7B64">
            <w:rPr>
              <w:rFonts w:ascii="Arial" w:hAnsi="Arial" w:cs="Arial"/>
              <w:sz w:val="18"/>
            </w:rPr>
            <w:t>mBank</w:t>
          </w:r>
          <w:proofErr w:type="spellEnd"/>
          <w:r w:rsidRPr="007C7B64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7C7B64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34220D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5BA4F391" w14:textId="656467DE" w:rsidR="00EC73D3" w:rsidRPr="007C7B64" w:rsidRDefault="00ED2D1F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7C7B64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7C7B64">
        <w:rPr>
          <w:rFonts w:ascii="Arial" w:hAnsi="Arial" w:cs="Arial"/>
          <w:b/>
          <w:sz w:val="28"/>
          <w:szCs w:val="28"/>
        </w:rPr>
        <w:t>podílových fondů</w:t>
      </w:r>
      <w:r w:rsidR="00EC73D3" w:rsidRPr="007C7B64">
        <w:rPr>
          <w:rFonts w:ascii="Arial" w:hAnsi="Arial" w:cs="Arial"/>
          <w:b/>
          <w:sz w:val="28"/>
          <w:szCs w:val="28"/>
        </w:rPr>
        <w:t>:</w:t>
      </w:r>
    </w:p>
    <w:p w14:paraId="1BDD7373" w14:textId="731A7C28" w:rsidR="00BF6A33" w:rsidRPr="007C7B64" w:rsidRDefault="003D2036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7C7B64">
        <w:rPr>
          <w:rFonts w:ascii="Arial" w:hAnsi="Arial" w:cs="Arial"/>
          <w:b/>
          <w:sz w:val="28"/>
          <w:szCs w:val="28"/>
        </w:rPr>
        <w:t>S počátkem roku</w:t>
      </w:r>
      <w:r w:rsidR="00A23DCC" w:rsidRPr="007C7B64">
        <w:rPr>
          <w:rFonts w:ascii="Arial" w:hAnsi="Arial" w:cs="Arial"/>
          <w:b/>
          <w:sz w:val="28"/>
          <w:szCs w:val="28"/>
        </w:rPr>
        <w:t xml:space="preserve"> posílily všechny podílové fondy s výjimkou </w:t>
      </w:r>
      <w:r w:rsidRPr="007C7B64">
        <w:rPr>
          <w:rFonts w:ascii="Arial" w:hAnsi="Arial" w:cs="Arial"/>
          <w:b/>
          <w:sz w:val="28"/>
          <w:szCs w:val="28"/>
        </w:rPr>
        <w:t>dluhopisových, které ztratily -0,50 %. N</w:t>
      </w:r>
      <w:r w:rsidR="007C7B64">
        <w:rPr>
          <w:rFonts w:ascii="Arial" w:hAnsi="Arial" w:cs="Arial"/>
          <w:b/>
          <w:sz w:val="28"/>
          <w:szCs w:val="28"/>
        </w:rPr>
        <w:t xml:space="preserve">ejvýše </w:t>
      </w:r>
      <w:r w:rsidR="007C7B64" w:rsidRPr="007C7B64">
        <w:rPr>
          <w:rFonts w:ascii="Arial" w:hAnsi="Arial" w:cs="Arial"/>
          <w:b/>
          <w:sz w:val="28"/>
          <w:szCs w:val="28"/>
        </w:rPr>
        <w:t>vyšplhaly</w:t>
      </w:r>
      <w:r w:rsidRPr="007C7B64">
        <w:rPr>
          <w:rFonts w:ascii="Arial" w:hAnsi="Arial" w:cs="Arial"/>
          <w:b/>
          <w:sz w:val="28"/>
          <w:szCs w:val="28"/>
        </w:rPr>
        <w:t xml:space="preserve"> komoditní fondy</w:t>
      </w:r>
      <w:r w:rsidR="007C7B64">
        <w:rPr>
          <w:rFonts w:ascii="Arial" w:hAnsi="Arial" w:cs="Arial"/>
          <w:b/>
          <w:sz w:val="28"/>
          <w:szCs w:val="28"/>
        </w:rPr>
        <w:t>, a to až n</w:t>
      </w:r>
      <w:r w:rsidRPr="007C7B64">
        <w:rPr>
          <w:rFonts w:ascii="Arial" w:hAnsi="Arial" w:cs="Arial"/>
          <w:b/>
          <w:sz w:val="28"/>
          <w:szCs w:val="28"/>
        </w:rPr>
        <w:t xml:space="preserve">a 4,23 % </w:t>
      </w:r>
    </w:p>
    <w:p w14:paraId="7467897D" w14:textId="29ED5B1F" w:rsidR="00C23E32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Default="00697EB5" w:rsidP="0088046D">
      <w:pPr>
        <w:jc w:val="both"/>
        <w:rPr>
          <w:rFonts w:ascii="Arial" w:hAnsi="Arial" w:cs="Arial"/>
          <w:i/>
          <w:sz w:val="20"/>
          <w:szCs w:val="20"/>
        </w:rPr>
      </w:pPr>
    </w:p>
    <w:p w14:paraId="6D758CDF" w14:textId="4501F66E" w:rsidR="00A23DCC" w:rsidRDefault="00197879" w:rsidP="0088046D">
      <w:pPr>
        <w:jc w:val="both"/>
        <w:rPr>
          <w:rFonts w:ascii="Arial" w:hAnsi="Arial" w:cs="Arial"/>
          <w:sz w:val="20"/>
          <w:szCs w:val="20"/>
        </w:rPr>
      </w:pPr>
      <w:r w:rsidRPr="00197879">
        <w:rPr>
          <w:rFonts w:ascii="Arial" w:hAnsi="Arial" w:cs="Arial"/>
          <w:i/>
          <w:sz w:val="20"/>
          <w:szCs w:val="20"/>
        </w:rPr>
        <w:t xml:space="preserve">Praha </w:t>
      </w:r>
      <w:r w:rsidR="001B088B">
        <w:rPr>
          <w:rFonts w:ascii="Arial" w:hAnsi="Arial" w:cs="Arial"/>
          <w:i/>
          <w:sz w:val="20"/>
          <w:szCs w:val="20"/>
        </w:rPr>
        <w:t>10</w:t>
      </w:r>
      <w:r w:rsidR="007C7B64">
        <w:rPr>
          <w:rFonts w:ascii="Arial" w:hAnsi="Arial" w:cs="Arial"/>
          <w:i/>
          <w:sz w:val="20"/>
          <w:szCs w:val="20"/>
        </w:rPr>
        <w:t>. února</w:t>
      </w:r>
      <w:r w:rsidR="006203C4">
        <w:rPr>
          <w:rFonts w:ascii="Arial" w:hAnsi="Arial" w:cs="Arial"/>
          <w:i/>
          <w:sz w:val="20"/>
          <w:szCs w:val="20"/>
        </w:rPr>
        <w:t xml:space="preserve"> 2022</w:t>
      </w:r>
      <w:r w:rsidRPr="00197879">
        <w:rPr>
          <w:rFonts w:ascii="Arial" w:hAnsi="Arial" w:cs="Arial"/>
          <w:i/>
          <w:sz w:val="20"/>
          <w:szCs w:val="20"/>
        </w:rPr>
        <w:t xml:space="preserve"> </w:t>
      </w:r>
      <w:r w:rsidRPr="005D34CC">
        <w:rPr>
          <w:rFonts w:ascii="Arial" w:hAnsi="Arial" w:cs="Arial"/>
          <w:sz w:val="20"/>
          <w:szCs w:val="20"/>
        </w:rPr>
        <w:t>–</w:t>
      </w:r>
      <w:r w:rsidR="00AB5142">
        <w:rPr>
          <w:rFonts w:ascii="Arial" w:hAnsi="Arial" w:cs="Arial"/>
          <w:sz w:val="20"/>
          <w:szCs w:val="20"/>
        </w:rPr>
        <w:t xml:space="preserve"> </w:t>
      </w:r>
      <w:r w:rsidR="00355D3E" w:rsidRPr="007C7B64">
        <w:rPr>
          <w:rFonts w:ascii="Arial" w:hAnsi="Arial" w:cs="Arial"/>
          <w:b/>
          <w:sz w:val="20"/>
          <w:szCs w:val="20"/>
        </w:rPr>
        <w:t xml:space="preserve">První měsíc letošního roku byl příznivý ke všem </w:t>
      </w:r>
      <w:r w:rsidR="00B00BCA">
        <w:rPr>
          <w:rFonts w:ascii="Arial" w:hAnsi="Arial" w:cs="Arial"/>
          <w:b/>
          <w:sz w:val="20"/>
          <w:szCs w:val="20"/>
        </w:rPr>
        <w:t xml:space="preserve">kategoriím </w:t>
      </w:r>
      <w:r w:rsidR="00355D3E" w:rsidRPr="007C7B64">
        <w:rPr>
          <w:rFonts w:ascii="Arial" w:hAnsi="Arial" w:cs="Arial"/>
          <w:b/>
          <w:sz w:val="20"/>
          <w:szCs w:val="20"/>
        </w:rPr>
        <w:t>fondů</w:t>
      </w:r>
      <w:r w:rsidR="007C7B64">
        <w:rPr>
          <w:rFonts w:ascii="Arial" w:hAnsi="Arial" w:cs="Arial"/>
          <w:b/>
          <w:sz w:val="20"/>
          <w:szCs w:val="20"/>
        </w:rPr>
        <w:t xml:space="preserve"> dlouhodobě sledovaným</w:t>
      </w:r>
      <w:r w:rsidR="00355D3E" w:rsidRPr="007C7B64">
        <w:rPr>
          <w:rFonts w:ascii="Arial" w:hAnsi="Arial" w:cs="Arial"/>
          <w:b/>
          <w:sz w:val="20"/>
          <w:szCs w:val="20"/>
        </w:rPr>
        <w:t xml:space="preserve"> Broker Consulting Index</w:t>
      </w:r>
      <w:r w:rsidR="007C7B64">
        <w:rPr>
          <w:rFonts w:ascii="Arial" w:hAnsi="Arial" w:cs="Arial"/>
          <w:b/>
          <w:sz w:val="20"/>
          <w:szCs w:val="20"/>
        </w:rPr>
        <w:t>em</w:t>
      </w:r>
      <w:r w:rsidR="00355D3E" w:rsidRPr="007C7B64">
        <w:rPr>
          <w:rFonts w:ascii="Arial" w:hAnsi="Arial" w:cs="Arial"/>
          <w:b/>
          <w:sz w:val="20"/>
          <w:szCs w:val="20"/>
        </w:rPr>
        <w:t xml:space="preserve"> podílových fondů. </w:t>
      </w:r>
      <w:r w:rsidR="007C7B64" w:rsidRPr="007C7B64">
        <w:rPr>
          <w:rFonts w:ascii="Arial" w:hAnsi="Arial" w:cs="Arial"/>
          <w:b/>
          <w:sz w:val="20"/>
          <w:szCs w:val="20"/>
        </w:rPr>
        <w:t>Jedinou výjimku tvoří dluhopisové fondy, které meziměsíčně ztratily -0,50 %. Naopak nejvíce přál leden komoditním fondům, které si připsaly 4,23 %. Akciové fondy posílily na 3,93 % a v kladných číslech zakončily měsíc i fondy nemovitostní a fondy peněžního trhu, které si připsaly 0,60 %, resp. 0,83 %.</w:t>
      </w:r>
    </w:p>
    <w:p w14:paraId="0BB483BB" w14:textId="77777777" w:rsidR="00A23DCC" w:rsidRDefault="00A23DCC" w:rsidP="0088046D">
      <w:pPr>
        <w:jc w:val="both"/>
        <w:rPr>
          <w:rFonts w:ascii="Arial" w:hAnsi="Arial" w:cs="Arial"/>
          <w:sz w:val="20"/>
          <w:szCs w:val="20"/>
        </w:rPr>
      </w:pPr>
    </w:p>
    <w:p w14:paraId="45CA7FB7" w14:textId="7D759B21" w:rsidR="00E85B77" w:rsidRDefault="00A23DCC" w:rsidP="00423383">
      <w:pPr>
        <w:jc w:val="both"/>
        <w:rPr>
          <w:rFonts w:ascii="Arial" w:hAnsi="Arial" w:cs="Arial"/>
          <w:sz w:val="20"/>
          <w:szCs w:val="20"/>
        </w:rPr>
      </w:pPr>
      <w:r w:rsidRPr="002439B4">
        <w:rPr>
          <w:rFonts w:ascii="Arial" w:hAnsi="Arial" w:cs="Arial"/>
          <w:sz w:val="20"/>
          <w:szCs w:val="20"/>
        </w:rPr>
        <w:t xml:space="preserve">Většina států </w:t>
      </w:r>
      <w:r w:rsidR="007C7B64">
        <w:rPr>
          <w:rFonts w:ascii="Arial" w:hAnsi="Arial" w:cs="Arial"/>
          <w:sz w:val="20"/>
          <w:szCs w:val="20"/>
        </w:rPr>
        <w:t xml:space="preserve">vyspělého světa </w:t>
      </w:r>
      <w:r w:rsidR="003D2036" w:rsidRPr="002439B4">
        <w:rPr>
          <w:rFonts w:ascii="Arial" w:hAnsi="Arial" w:cs="Arial"/>
          <w:sz w:val="20"/>
          <w:szCs w:val="20"/>
        </w:rPr>
        <w:t>vst</w:t>
      </w:r>
      <w:r w:rsidR="003D2036">
        <w:rPr>
          <w:rFonts w:ascii="Arial" w:hAnsi="Arial" w:cs="Arial"/>
          <w:sz w:val="20"/>
          <w:szCs w:val="20"/>
        </w:rPr>
        <w:t xml:space="preserve">oupila </w:t>
      </w:r>
      <w:r w:rsidRPr="002439B4">
        <w:rPr>
          <w:rFonts w:ascii="Arial" w:hAnsi="Arial" w:cs="Arial"/>
          <w:sz w:val="20"/>
          <w:szCs w:val="20"/>
        </w:rPr>
        <w:t xml:space="preserve">do roku </w:t>
      </w:r>
      <w:r w:rsidR="003D2036">
        <w:rPr>
          <w:rFonts w:ascii="Arial" w:hAnsi="Arial" w:cs="Arial"/>
          <w:sz w:val="20"/>
          <w:szCs w:val="20"/>
        </w:rPr>
        <w:t xml:space="preserve">2022 </w:t>
      </w:r>
      <w:r w:rsidRPr="002439B4">
        <w:rPr>
          <w:rFonts w:ascii="Arial" w:hAnsi="Arial" w:cs="Arial"/>
          <w:sz w:val="20"/>
          <w:szCs w:val="20"/>
        </w:rPr>
        <w:t xml:space="preserve">s velmi vysokou inflací. </w:t>
      </w:r>
      <w:r w:rsidR="003D2036">
        <w:rPr>
          <w:rFonts w:ascii="Arial" w:hAnsi="Arial" w:cs="Arial"/>
          <w:sz w:val="20"/>
          <w:szCs w:val="20"/>
        </w:rPr>
        <w:t>Ta je v USA</w:t>
      </w:r>
      <w:r w:rsidRPr="002439B4">
        <w:rPr>
          <w:rFonts w:ascii="Arial" w:hAnsi="Arial" w:cs="Arial"/>
          <w:sz w:val="20"/>
          <w:szCs w:val="20"/>
        </w:rPr>
        <w:t xml:space="preserve"> nejvyšší za poslední</w:t>
      </w:r>
      <w:r w:rsidR="003D2036">
        <w:rPr>
          <w:rFonts w:ascii="Arial" w:hAnsi="Arial" w:cs="Arial"/>
          <w:sz w:val="20"/>
          <w:szCs w:val="20"/>
        </w:rPr>
        <w:t xml:space="preserve"> desítky let,</w:t>
      </w:r>
      <w:r w:rsidR="00423383">
        <w:rPr>
          <w:rFonts w:ascii="Arial" w:hAnsi="Arial" w:cs="Arial"/>
          <w:sz w:val="20"/>
          <w:szCs w:val="20"/>
        </w:rPr>
        <w:t xml:space="preserve"> </w:t>
      </w:r>
      <w:r w:rsidR="003D2036">
        <w:rPr>
          <w:rFonts w:ascii="Arial" w:hAnsi="Arial" w:cs="Arial"/>
          <w:sz w:val="20"/>
          <w:szCs w:val="20"/>
        </w:rPr>
        <w:t xml:space="preserve">Federální rezervní systém (FED) tak </w:t>
      </w:r>
      <w:r w:rsidR="007C7B64" w:rsidRPr="002439B4">
        <w:rPr>
          <w:rFonts w:ascii="Arial" w:hAnsi="Arial" w:cs="Arial"/>
          <w:sz w:val="20"/>
          <w:szCs w:val="20"/>
        </w:rPr>
        <w:t>na začátku jara</w:t>
      </w:r>
      <w:r w:rsidR="007C7B64">
        <w:rPr>
          <w:rFonts w:ascii="Arial" w:hAnsi="Arial" w:cs="Arial"/>
          <w:sz w:val="20"/>
          <w:szCs w:val="20"/>
        </w:rPr>
        <w:t xml:space="preserve"> </w:t>
      </w:r>
      <w:r w:rsidR="003D2036">
        <w:rPr>
          <w:rFonts w:ascii="Arial" w:hAnsi="Arial" w:cs="Arial"/>
          <w:sz w:val="20"/>
          <w:szCs w:val="20"/>
        </w:rPr>
        <w:t>plánuje spustit protiinflační opatření v podobě</w:t>
      </w:r>
      <w:r w:rsidRPr="002439B4">
        <w:rPr>
          <w:rFonts w:ascii="Arial" w:hAnsi="Arial" w:cs="Arial"/>
          <w:sz w:val="20"/>
          <w:szCs w:val="20"/>
        </w:rPr>
        <w:t xml:space="preserve"> zvyšování úrokových sazeb</w:t>
      </w:r>
      <w:r w:rsidR="003D2036">
        <w:rPr>
          <w:rFonts w:ascii="Arial" w:hAnsi="Arial" w:cs="Arial"/>
          <w:sz w:val="20"/>
          <w:szCs w:val="20"/>
        </w:rPr>
        <w:t xml:space="preserve">. Evropská centrální banka (ECB) zastává </w:t>
      </w:r>
      <w:r w:rsidRPr="002439B4">
        <w:rPr>
          <w:rFonts w:ascii="Arial" w:hAnsi="Arial" w:cs="Arial"/>
          <w:sz w:val="20"/>
          <w:szCs w:val="20"/>
        </w:rPr>
        <w:t>opačný pohled na situaci a předpokládá, že současná inflace je pou</w:t>
      </w:r>
      <w:r w:rsidR="00423383">
        <w:rPr>
          <w:rFonts w:ascii="Arial" w:hAnsi="Arial" w:cs="Arial"/>
          <w:sz w:val="20"/>
          <w:szCs w:val="20"/>
        </w:rPr>
        <w:t>ze přechodn</w:t>
      </w:r>
      <w:r w:rsidRPr="002439B4">
        <w:rPr>
          <w:rFonts w:ascii="Arial" w:hAnsi="Arial" w:cs="Arial"/>
          <w:sz w:val="20"/>
          <w:szCs w:val="20"/>
        </w:rPr>
        <w:t xml:space="preserve">ý jev, který brzy odezní. </w:t>
      </w:r>
      <w:r w:rsidR="003D2036">
        <w:rPr>
          <w:rFonts w:ascii="Arial" w:hAnsi="Arial" w:cs="Arial"/>
          <w:sz w:val="20"/>
          <w:szCs w:val="20"/>
        </w:rPr>
        <w:t>Z</w:t>
      </w:r>
      <w:r w:rsidRPr="002439B4">
        <w:rPr>
          <w:rFonts w:ascii="Arial" w:hAnsi="Arial" w:cs="Arial"/>
          <w:sz w:val="20"/>
          <w:szCs w:val="20"/>
        </w:rPr>
        <w:t xml:space="preserve">vyšování úrokových sazeb </w:t>
      </w:r>
      <w:r w:rsidR="003D2036">
        <w:rPr>
          <w:rFonts w:ascii="Arial" w:hAnsi="Arial" w:cs="Arial"/>
          <w:sz w:val="20"/>
          <w:szCs w:val="20"/>
        </w:rPr>
        <w:t xml:space="preserve">tudíž </w:t>
      </w:r>
      <w:r w:rsidRPr="002439B4">
        <w:rPr>
          <w:rFonts w:ascii="Arial" w:hAnsi="Arial" w:cs="Arial"/>
          <w:sz w:val="20"/>
          <w:szCs w:val="20"/>
        </w:rPr>
        <w:t>neplánuje</w:t>
      </w:r>
      <w:r w:rsidR="003D2036">
        <w:rPr>
          <w:rFonts w:ascii="Arial" w:hAnsi="Arial" w:cs="Arial"/>
          <w:sz w:val="20"/>
          <w:szCs w:val="20"/>
        </w:rPr>
        <w:t xml:space="preserve">, a </w:t>
      </w:r>
      <w:r w:rsidR="00423383">
        <w:rPr>
          <w:rFonts w:ascii="Arial" w:hAnsi="Arial" w:cs="Arial"/>
          <w:sz w:val="20"/>
          <w:szCs w:val="20"/>
        </w:rPr>
        <w:t>to navzdory</w:t>
      </w:r>
      <w:r w:rsidR="003F652F">
        <w:rPr>
          <w:rFonts w:ascii="Arial" w:hAnsi="Arial" w:cs="Arial"/>
          <w:sz w:val="20"/>
          <w:szCs w:val="20"/>
        </w:rPr>
        <w:t xml:space="preserve"> obavám z</w:t>
      </w:r>
      <w:r w:rsidR="00423383">
        <w:rPr>
          <w:rFonts w:ascii="Arial" w:hAnsi="Arial" w:cs="Arial"/>
          <w:sz w:val="20"/>
          <w:szCs w:val="20"/>
        </w:rPr>
        <w:t> dopadů</w:t>
      </w:r>
      <w:r w:rsidR="003F652F">
        <w:rPr>
          <w:rFonts w:ascii="Arial" w:hAnsi="Arial" w:cs="Arial"/>
          <w:sz w:val="20"/>
          <w:szCs w:val="20"/>
        </w:rPr>
        <w:t>, které m</w:t>
      </w:r>
      <w:r w:rsidR="00423383">
        <w:rPr>
          <w:rFonts w:ascii="Arial" w:hAnsi="Arial" w:cs="Arial"/>
          <w:sz w:val="20"/>
          <w:szCs w:val="20"/>
        </w:rPr>
        <w:t>ůže vyvolat zadluženost</w:t>
      </w:r>
      <w:r w:rsidR="003F652F">
        <w:rPr>
          <w:rFonts w:ascii="Arial" w:hAnsi="Arial" w:cs="Arial"/>
          <w:sz w:val="20"/>
          <w:szCs w:val="20"/>
        </w:rPr>
        <w:t xml:space="preserve"> někte</w:t>
      </w:r>
      <w:r w:rsidR="00423383">
        <w:rPr>
          <w:rFonts w:ascii="Arial" w:hAnsi="Arial" w:cs="Arial"/>
          <w:sz w:val="20"/>
          <w:szCs w:val="20"/>
        </w:rPr>
        <w:t>rých</w:t>
      </w:r>
      <w:r w:rsidR="003F652F">
        <w:rPr>
          <w:rFonts w:ascii="Arial" w:hAnsi="Arial" w:cs="Arial"/>
          <w:sz w:val="20"/>
          <w:szCs w:val="20"/>
        </w:rPr>
        <w:t xml:space="preserve"> </w:t>
      </w:r>
      <w:r w:rsidR="00423383">
        <w:rPr>
          <w:rFonts w:ascii="Arial" w:hAnsi="Arial" w:cs="Arial"/>
          <w:sz w:val="20"/>
          <w:szCs w:val="20"/>
        </w:rPr>
        <w:t>států</w:t>
      </w:r>
      <w:r w:rsidRPr="002439B4">
        <w:rPr>
          <w:rFonts w:ascii="Arial" w:hAnsi="Arial" w:cs="Arial"/>
          <w:sz w:val="20"/>
          <w:szCs w:val="20"/>
        </w:rPr>
        <w:t xml:space="preserve"> Eurozóny. </w:t>
      </w:r>
    </w:p>
    <w:p w14:paraId="00A2B7AC" w14:textId="77777777" w:rsidR="00E85B77" w:rsidRDefault="00E85B77" w:rsidP="00423383">
      <w:pPr>
        <w:jc w:val="both"/>
        <w:rPr>
          <w:rFonts w:ascii="Arial" w:hAnsi="Arial" w:cs="Arial"/>
          <w:sz w:val="20"/>
          <w:szCs w:val="20"/>
        </w:rPr>
      </w:pPr>
    </w:p>
    <w:p w14:paraId="2524C4EB" w14:textId="41BDB675" w:rsidR="00423383" w:rsidRDefault="00423383" w:rsidP="00423383">
      <w:pPr>
        <w:jc w:val="both"/>
        <w:rPr>
          <w:rFonts w:ascii="Arial" w:hAnsi="Arial" w:cs="Arial"/>
          <w:sz w:val="20"/>
          <w:szCs w:val="20"/>
        </w:rPr>
      </w:pPr>
      <w:r w:rsidRPr="00423383">
        <w:rPr>
          <w:rFonts w:ascii="Arial" w:hAnsi="Arial" w:cs="Arial"/>
          <w:i/>
          <w:sz w:val="20"/>
          <w:szCs w:val="20"/>
        </w:rPr>
        <w:t>„</w:t>
      </w:r>
      <w:r w:rsidR="00A23DCC" w:rsidRPr="00423383">
        <w:rPr>
          <w:rFonts w:ascii="Arial" w:hAnsi="Arial" w:cs="Arial"/>
          <w:i/>
          <w:sz w:val="20"/>
          <w:szCs w:val="20"/>
        </w:rPr>
        <w:t>Obava</w:t>
      </w:r>
      <w:r w:rsidRPr="00423383">
        <w:rPr>
          <w:rFonts w:ascii="Arial" w:hAnsi="Arial" w:cs="Arial"/>
          <w:i/>
          <w:sz w:val="20"/>
          <w:szCs w:val="20"/>
        </w:rPr>
        <w:t xml:space="preserve"> z dalšího vývoje</w:t>
      </w:r>
      <w:r w:rsidR="00A23DCC" w:rsidRPr="00423383">
        <w:rPr>
          <w:rFonts w:ascii="Arial" w:hAnsi="Arial" w:cs="Arial"/>
          <w:i/>
          <w:sz w:val="20"/>
          <w:szCs w:val="20"/>
        </w:rPr>
        <w:t xml:space="preserve"> </w:t>
      </w:r>
      <w:r w:rsidR="003F652F" w:rsidRPr="00423383">
        <w:rPr>
          <w:rFonts w:ascii="Arial" w:hAnsi="Arial" w:cs="Arial"/>
          <w:i/>
          <w:sz w:val="20"/>
          <w:szCs w:val="20"/>
        </w:rPr>
        <w:t xml:space="preserve">panuje </w:t>
      </w:r>
      <w:r w:rsidRPr="00423383">
        <w:rPr>
          <w:rFonts w:ascii="Arial" w:hAnsi="Arial" w:cs="Arial"/>
          <w:i/>
          <w:sz w:val="20"/>
          <w:szCs w:val="20"/>
        </w:rPr>
        <w:t>i</w:t>
      </w:r>
      <w:r w:rsidR="003F652F" w:rsidRPr="00423383">
        <w:rPr>
          <w:rFonts w:ascii="Arial" w:hAnsi="Arial" w:cs="Arial"/>
          <w:i/>
          <w:sz w:val="20"/>
          <w:szCs w:val="20"/>
        </w:rPr>
        <w:t xml:space="preserve"> na kapitálových trzích</w:t>
      </w:r>
      <w:r w:rsidR="00A23DCC" w:rsidRPr="00423383">
        <w:rPr>
          <w:rFonts w:ascii="Arial" w:hAnsi="Arial" w:cs="Arial"/>
          <w:i/>
          <w:sz w:val="20"/>
          <w:szCs w:val="20"/>
        </w:rPr>
        <w:t xml:space="preserve">. Scénář </w:t>
      </w:r>
      <w:r w:rsidRPr="00423383">
        <w:rPr>
          <w:rFonts w:ascii="Arial" w:hAnsi="Arial" w:cs="Arial"/>
          <w:i/>
          <w:sz w:val="20"/>
          <w:szCs w:val="20"/>
        </w:rPr>
        <w:t xml:space="preserve">možného </w:t>
      </w:r>
      <w:r w:rsidR="00A23DCC" w:rsidRPr="00423383">
        <w:rPr>
          <w:rFonts w:ascii="Arial" w:hAnsi="Arial" w:cs="Arial"/>
          <w:i/>
          <w:sz w:val="20"/>
          <w:szCs w:val="20"/>
        </w:rPr>
        <w:t>zvyšování</w:t>
      </w:r>
      <w:r w:rsidRPr="00423383">
        <w:rPr>
          <w:rFonts w:ascii="Arial" w:hAnsi="Arial" w:cs="Arial"/>
          <w:i/>
          <w:sz w:val="20"/>
          <w:szCs w:val="20"/>
        </w:rPr>
        <w:t xml:space="preserve"> úrokových sazeb</w:t>
      </w:r>
      <w:r w:rsidR="00A23DCC" w:rsidRPr="00423383">
        <w:rPr>
          <w:rFonts w:ascii="Arial" w:hAnsi="Arial" w:cs="Arial"/>
          <w:i/>
          <w:sz w:val="20"/>
          <w:szCs w:val="20"/>
        </w:rPr>
        <w:t xml:space="preserve"> hraje do karet titulům z bankovního a finančního sektoru, které by </w:t>
      </w:r>
      <w:r w:rsidRPr="00423383">
        <w:rPr>
          <w:rFonts w:ascii="Arial" w:hAnsi="Arial" w:cs="Arial"/>
          <w:i/>
          <w:sz w:val="20"/>
          <w:szCs w:val="20"/>
        </w:rPr>
        <w:t>tím dosáhly</w:t>
      </w:r>
      <w:r w:rsidR="003F652F" w:rsidRPr="00423383">
        <w:rPr>
          <w:rFonts w:ascii="Arial" w:hAnsi="Arial" w:cs="Arial"/>
          <w:i/>
          <w:sz w:val="20"/>
          <w:szCs w:val="20"/>
        </w:rPr>
        <w:t xml:space="preserve"> </w:t>
      </w:r>
      <w:r w:rsidR="00A23DCC" w:rsidRPr="00423383">
        <w:rPr>
          <w:rFonts w:ascii="Arial" w:hAnsi="Arial" w:cs="Arial"/>
          <w:i/>
          <w:sz w:val="20"/>
          <w:szCs w:val="20"/>
        </w:rPr>
        <w:t xml:space="preserve">vyšších zisků. Naopak akciím </w:t>
      </w:r>
      <w:r w:rsidR="004C398C">
        <w:rPr>
          <w:rFonts w:ascii="Arial" w:hAnsi="Arial" w:cs="Arial"/>
          <w:i/>
          <w:sz w:val="20"/>
          <w:szCs w:val="20"/>
        </w:rPr>
        <w:t xml:space="preserve">technologických firem </w:t>
      </w:r>
      <w:r w:rsidRPr="00423383">
        <w:rPr>
          <w:rFonts w:ascii="Arial" w:hAnsi="Arial" w:cs="Arial"/>
          <w:i/>
          <w:sz w:val="20"/>
          <w:szCs w:val="20"/>
        </w:rPr>
        <w:t xml:space="preserve">by se </w:t>
      </w:r>
      <w:r w:rsidR="007905D5">
        <w:rPr>
          <w:rFonts w:ascii="Arial" w:hAnsi="Arial" w:cs="Arial"/>
          <w:i/>
          <w:sz w:val="20"/>
          <w:szCs w:val="20"/>
        </w:rPr>
        <w:t>v případě dalšího</w:t>
      </w:r>
      <w:r w:rsidRPr="00423383">
        <w:rPr>
          <w:rFonts w:ascii="Arial" w:hAnsi="Arial" w:cs="Arial"/>
          <w:i/>
          <w:sz w:val="20"/>
          <w:szCs w:val="20"/>
        </w:rPr>
        <w:t xml:space="preserve"> zvyšování </w:t>
      </w:r>
      <w:r w:rsidR="004C398C">
        <w:rPr>
          <w:rFonts w:ascii="Arial" w:hAnsi="Arial" w:cs="Arial"/>
          <w:i/>
          <w:sz w:val="20"/>
          <w:szCs w:val="20"/>
        </w:rPr>
        <w:t xml:space="preserve">sazeb </w:t>
      </w:r>
      <w:r w:rsidR="007905D5">
        <w:rPr>
          <w:rFonts w:ascii="Arial" w:hAnsi="Arial" w:cs="Arial"/>
          <w:i/>
          <w:sz w:val="20"/>
          <w:szCs w:val="20"/>
        </w:rPr>
        <w:t>příliš nedařilo</w:t>
      </w:r>
      <w:r w:rsidRPr="00423383">
        <w:rPr>
          <w:rFonts w:ascii="Arial" w:hAnsi="Arial" w:cs="Arial"/>
          <w:i/>
          <w:sz w:val="20"/>
          <w:szCs w:val="20"/>
        </w:rPr>
        <w:t>. Z dlouhodobého hlediska</w:t>
      </w:r>
      <w:r w:rsidR="00A23DCC" w:rsidRPr="00423383">
        <w:rPr>
          <w:rFonts w:ascii="Arial" w:hAnsi="Arial" w:cs="Arial"/>
          <w:i/>
          <w:sz w:val="20"/>
          <w:szCs w:val="20"/>
        </w:rPr>
        <w:t xml:space="preserve"> jsou ale tyto výkyvy často zanedbatelné, a proto je vhodné počítat u akciových titulů s investicí minimálně na 5 let</w:t>
      </w:r>
      <w:r w:rsidRPr="00423383">
        <w:rPr>
          <w:rFonts w:ascii="Arial" w:hAnsi="Arial" w:cs="Arial"/>
          <w:i/>
          <w:sz w:val="20"/>
          <w:szCs w:val="20"/>
        </w:rPr>
        <w:t xml:space="preserve">,“ </w:t>
      </w:r>
      <w:r w:rsidR="00B00BCA">
        <w:rPr>
          <w:rFonts w:ascii="Arial" w:hAnsi="Arial" w:cs="Arial"/>
          <w:sz w:val="20"/>
          <w:szCs w:val="20"/>
        </w:rPr>
        <w:t>odhaduje další vývoj</w:t>
      </w:r>
      <w:r>
        <w:rPr>
          <w:rFonts w:ascii="Arial" w:hAnsi="Arial" w:cs="Arial"/>
          <w:sz w:val="20"/>
          <w:szCs w:val="20"/>
        </w:rPr>
        <w:t xml:space="preserve"> </w:t>
      </w:r>
      <w:r w:rsidRPr="00E85B77">
        <w:rPr>
          <w:rFonts w:ascii="Arial" w:hAnsi="Arial" w:cs="Arial"/>
          <w:b/>
          <w:sz w:val="20"/>
          <w:szCs w:val="20"/>
        </w:rPr>
        <w:t>Dominik Šulta,</w:t>
      </w:r>
      <w:r>
        <w:rPr>
          <w:rFonts w:ascii="Arial" w:hAnsi="Arial" w:cs="Arial"/>
          <w:sz w:val="20"/>
          <w:szCs w:val="20"/>
        </w:rPr>
        <w:t xml:space="preserve"> </w:t>
      </w:r>
      <w:r w:rsidRPr="00DC3F71">
        <w:rPr>
          <w:rFonts w:ascii="Arial" w:hAnsi="Arial" w:cs="Arial"/>
          <w:b/>
          <w:sz w:val="20"/>
          <w:szCs w:val="20"/>
        </w:rPr>
        <w:t>analytik konzervativních investic</w:t>
      </w:r>
      <w:r w:rsidR="00E85B77">
        <w:rPr>
          <w:rFonts w:ascii="Arial" w:hAnsi="Arial" w:cs="Arial"/>
          <w:b/>
          <w:sz w:val="20"/>
          <w:szCs w:val="20"/>
        </w:rPr>
        <w:t xml:space="preserve"> společnosti</w:t>
      </w:r>
      <w:r w:rsidRPr="00DC3F71">
        <w:rPr>
          <w:rFonts w:ascii="Arial" w:hAnsi="Arial" w:cs="Arial"/>
          <w:b/>
          <w:sz w:val="20"/>
          <w:szCs w:val="20"/>
        </w:rPr>
        <w:t xml:space="preserve"> Broker Consulting</w:t>
      </w:r>
      <w:r>
        <w:rPr>
          <w:rFonts w:ascii="Arial" w:hAnsi="Arial" w:cs="Arial"/>
          <w:sz w:val="20"/>
          <w:szCs w:val="20"/>
        </w:rPr>
        <w:t>.</w:t>
      </w:r>
      <w:r w:rsidR="00E85B77">
        <w:rPr>
          <w:rFonts w:ascii="Arial" w:hAnsi="Arial" w:cs="Arial"/>
          <w:sz w:val="20"/>
          <w:szCs w:val="20"/>
        </w:rPr>
        <w:t xml:space="preserve"> Podle jejího Indexu podílových fondů akciové fondy v lednu potvrdily svou volatilitu a po prosincovém poklesu opět nabraly směr vzhůru až na 3,93 %.</w:t>
      </w:r>
    </w:p>
    <w:p w14:paraId="7E4C7BFA" w14:textId="30AC359E" w:rsidR="00A23DCC" w:rsidRPr="00E02292" w:rsidRDefault="00A23DCC" w:rsidP="00A23DCC">
      <w:pPr>
        <w:jc w:val="both"/>
        <w:rPr>
          <w:rFonts w:ascii="Arial" w:hAnsi="Arial" w:cs="Arial"/>
          <w:sz w:val="20"/>
          <w:szCs w:val="20"/>
        </w:rPr>
      </w:pPr>
    </w:p>
    <w:p w14:paraId="34A671C2" w14:textId="3F363607" w:rsidR="00A23DCC" w:rsidRPr="00E02292" w:rsidRDefault="00A23DCC" w:rsidP="00A23DCC">
      <w:pPr>
        <w:jc w:val="both"/>
        <w:rPr>
          <w:rFonts w:ascii="Arial" w:hAnsi="Arial" w:cs="Arial"/>
          <w:sz w:val="20"/>
          <w:szCs w:val="20"/>
        </w:rPr>
      </w:pPr>
      <w:r w:rsidRPr="00E02292">
        <w:rPr>
          <w:rFonts w:ascii="Arial" w:hAnsi="Arial" w:cs="Arial"/>
          <w:sz w:val="20"/>
          <w:szCs w:val="20"/>
        </w:rPr>
        <w:t>Komodity zaznamenaly v</w:t>
      </w:r>
      <w:r w:rsidR="00E85B77" w:rsidRPr="00E02292">
        <w:rPr>
          <w:rFonts w:ascii="Arial" w:hAnsi="Arial" w:cs="Arial"/>
          <w:sz w:val="20"/>
          <w:szCs w:val="20"/>
        </w:rPr>
        <w:t> prvním měsíci letošního roku kladný výnos 4,23 %</w:t>
      </w:r>
      <w:r w:rsidR="00E02292" w:rsidRPr="00E02292">
        <w:rPr>
          <w:rFonts w:ascii="Arial" w:hAnsi="Arial" w:cs="Arial"/>
          <w:sz w:val="20"/>
          <w:szCs w:val="20"/>
        </w:rPr>
        <w:t xml:space="preserve">, a staly se tak nejúspěšnějšími ze všech </w:t>
      </w:r>
      <w:r w:rsidR="00B00BCA">
        <w:rPr>
          <w:rFonts w:ascii="Arial" w:hAnsi="Arial" w:cs="Arial"/>
          <w:sz w:val="20"/>
          <w:szCs w:val="20"/>
        </w:rPr>
        <w:t>typů</w:t>
      </w:r>
      <w:r w:rsidR="007905D5">
        <w:rPr>
          <w:rFonts w:ascii="Arial" w:hAnsi="Arial" w:cs="Arial"/>
          <w:sz w:val="20"/>
          <w:szCs w:val="20"/>
        </w:rPr>
        <w:t xml:space="preserve"> </w:t>
      </w:r>
      <w:r w:rsidR="00E02292" w:rsidRPr="00E02292">
        <w:rPr>
          <w:rFonts w:ascii="Arial" w:hAnsi="Arial" w:cs="Arial"/>
          <w:sz w:val="20"/>
          <w:szCs w:val="20"/>
        </w:rPr>
        <w:t>podílových fondů sledovaných Broker Consulting Indexem</w:t>
      </w:r>
      <w:r w:rsidR="007905D5">
        <w:rPr>
          <w:rFonts w:ascii="Arial" w:hAnsi="Arial" w:cs="Arial"/>
          <w:sz w:val="20"/>
          <w:szCs w:val="20"/>
        </w:rPr>
        <w:t>. Jejich</w:t>
      </w:r>
      <w:r w:rsidR="00B00BCA">
        <w:rPr>
          <w:rFonts w:ascii="Arial" w:hAnsi="Arial" w:cs="Arial"/>
          <w:sz w:val="20"/>
          <w:szCs w:val="20"/>
        </w:rPr>
        <w:t xml:space="preserve"> posílení je dů</w:t>
      </w:r>
      <w:r w:rsidR="00E02292" w:rsidRPr="00E02292">
        <w:rPr>
          <w:rFonts w:ascii="Arial" w:hAnsi="Arial" w:cs="Arial"/>
          <w:sz w:val="20"/>
          <w:szCs w:val="20"/>
        </w:rPr>
        <w:t xml:space="preserve">sledkem </w:t>
      </w:r>
      <w:r w:rsidRPr="00E02292">
        <w:rPr>
          <w:rFonts w:ascii="Arial" w:hAnsi="Arial" w:cs="Arial"/>
          <w:sz w:val="20"/>
          <w:szCs w:val="20"/>
        </w:rPr>
        <w:t xml:space="preserve">prudkého nárůstu cen energií v průběhu </w:t>
      </w:r>
      <w:r w:rsidR="00E02292" w:rsidRPr="00E02292">
        <w:rPr>
          <w:rFonts w:ascii="Arial" w:hAnsi="Arial" w:cs="Arial"/>
          <w:sz w:val="20"/>
          <w:szCs w:val="20"/>
        </w:rPr>
        <w:t>ledna</w:t>
      </w:r>
      <w:r w:rsidRPr="00E02292">
        <w:rPr>
          <w:rFonts w:ascii="Arial" w:hAnsi="Arial" w:cs="Arial"/>
          <w:sz w:val="20"/>
          <w:szCs w:val="20"/>
        </w:rPr>
        <w:t xml:space="preserve">. Energie </w:t>
      </w:r>
      <w:r w:rsidR="00E02292" w:rsidRPr="00E02292">
        <w:rPr>
          <w:rFonts w:ascii="Arial" w:hAnsi="Arial" w:cs="Arial"/>
          <w:sz w:val="20"/>
          <w:szCs w:val="20"/>
        </w:rPr>
        <w:t xml:space="preserve">tak </w:t>
      </w:r>
      <w:r w:rsidRPr="00E02292">
        <w:rPr>
          <w:rFonts w:ascii="Arial" w:hAnsi="Arial" w:cs="Arial"/>
          <w:sz w:val="20"/>
          <w:szCs w:val="20"/>
        </w:rPr>
        <w:t xml:space="preserve">byla </w:t>
      </w:r>
      <w:r w:rsidR="00E02292" w:rsidRPr="00E02292">
        <w:rPr>
          <w:rFonts w:ascii="Arial" w:hAnsi="Arial" w:cs="Arial"/>
          <w:sz w:val="20"/>
          <w:szCs w:val="20"/>
        </w:rPr>
        <w:t xml:space="preserve">v rámci komodit </w:t>
      </w:r>
      <w:r w:rsidRPr="00E02292">
        <w:rPr>
          <w:rFonts w:ascii="Arial" w:hAnsi="Arial" w:cs="Arial"/>
          <w:sz w:val="20"/>
          <w:szCs w:val="20"/>
        </w:rPr>
        <w:t>nejvýkonnější složkou</w:t>
      </w:r>
      <w:r w:rsidR="007905D5">
        <w:rPr>
          <w:rFonts w:ascii="Arial" w:hAnsi="Arial" w:cs="Arial"/>
          <w:sz w:val="20"/>
          <w:szCs w:val="20"/>
        </w:rPr>
        <w:t xml:space="preserve"> – p</w:t>
      </w:r>
      <w:r w:rsidR="00E85B77" w:rsidRPr="00E02292">
        <w:rPr>
          <w:rFonts w:ascii="Arial" w:hAnsi="Arial" w:cs="Arial"/>
          <w:sz w:val="20"/>
          <w:szCs w:val="20"/>
        </w:rPr>
        <w:t>rudce vzrostly</w:t>
      </w:r>
      <w:r w:rsidRPr="00E02292">
        <w:rPr>
          <w:rFonts w:ascii="Arial" w:hAnsi="Arial" w:cs="Arial"/>
          <w:sz w:val="20"/>
          <w:szCs w:val="20"/>
        </w:rPr>
        <w:t xml:space="preserve"> ceny zemního plynu a výrazn</w:t>
      </w:r>
      <w:r w:rsidR="00E85B77" w:rsidRPr="00E02292">
        <w:rPr>
          <w:rFonts w:ascii="Arial" w:hAnsi="Arial" w:cs="Arial"/>
          <w:sz w:val="20"/>
          <w:szCs w:val="20"/>
        </w:rPr>
        <w:t xml:space="preserve">é </w:t>
      </w:r>
      <w:r w:rsidRPr="00E02292">
        <w:rPr>
          <w:rFonts w:ascii="Arial" w:hAnsi="Arial" w:cs="Arial"/>
          <w:sz w:val="20"/>
          <w:szCs w:val="20"/>
        </w:rPr>
        <w:t xml:space="preserve">zisky </w:t>
      </w:r>
      <w:r w:rsidR="00E85B77" w:rsidRPr="00E02292">
        <w:rPr>
          <w:rFonts w:ascii="Arial" w:hAnsi="Arial" w:cs="Arial"/>
          <w:sz w:val="20"/>
          <w:szCs w:val="20"/>
        </w:rPr>
        <w:t xml:space="preserve">si připsala ropa, </w:t>
      </w:r>
      <w:r w:rsidRPr="00E02292">
        <w:rPr>
          <w:rFonts w:ascii="Arial" w:hAnsi="Arial" w:cs="Arial"/>
          <w:sz w:val="20"/>
          <w:szCs w:val="20"/>
        </w:rPr>
        <w:t>motorov</w:t>
      </w:r>
      <w:r w:rsidR="00E85B77" w:rsidRPr="00E02292">
        <w:rPr>
          <w:rFonts w:ascii="Arial" w:hAnsi="Arial" w:cs="Arial"/>
          <w:sz w:val="20"/>
          <w:szCs w:val="20"/>
        </w:rPr>
        <w:t>á</w:t>
      </w:r>
      <w:r w:rsidRPr="00E02292">
        <w:rPr>
          <w:rFonts w:ascii="Arial" w:hAnsi="Arial" w:cs="Arial"/>
          <w:sz w:val="20"/>
          <w:szCs w:val="20"/>
        </w:rPr>
        <w:t xml:space="preserve"> </w:t>
      </w:r>
      <w:r w:rsidR="00E85B77" w:rsidRPr="00E02292">
        <w:rPr>
          <w:rFonts w:ascii="Arial" w:hAnsi="Arial" w:cs="Arial"/>
          <w:sz w:val="20"/>
          <w:szCs w:val="20"/>
        </w:rPr>
        <w:t xml:space="preserve">a topná </w:t>
      </w:r>
      <w:r w:rsidRPr="00E02292">
        <w:rPr>
          <w:rFonts w:ascii="Arial" w:hAnsi="Arial" w:cs="Arial"/>
          <w:sz w:val="20"/>
          <w:szCs w:val="20"/>
        </w:rPr>
        <w:t>paliv</w:t>
      </w:r>
      <w:r w:rsidR="00E85B77" w:rsidRPr="00E02292">
        <w:rPr>
          <w:rFonts w:ascii="Arial" w:hAnsi="Arial" w:cs="Arial"/>
          <w:sz w:val="20"/>
          <w:szCs w:val="20"/>
        </w:rPr>
        <w:t xml:space="preserve">a. </w:t>
      </w:r>
      <w:r w:rsidR="007905D5">
        <w:rPr>
          <w:rFonts w:ascii="Arial" w:hAnsi="Arial" w:cs="Arial"/>
          <w:sz w:val="20"/>
          <w:szCs w:val="20"/>
        </w:rPr>
        <w:t>Zvýšení</w:t>
      </w:r>
      <w:r w:rsidR="00E85B77" w:rsidRPr="00E02292">
        <w:rPr>
          <w:rFonts w:ascii="Arial" w:hAnsi="Arial" w:cs="Arial"/>
          <w:sz w:val="20"/>
          <w:szCs w:val="20"/>
        </w:rPr>
        <w:t xml:space="preserve"> cen </w:t>
      </w:r>
      <w:r w:rsidR="007905D5">
        <w:rPr>
          <w:rFonts w:ascii="Arial" w:hAnsi="Arial" w:cs="Arial"/>
          <w:sz w:val="20"/>
          <w:szCs w:val="20"/>
        </w:rPr>
        <w:t>je dáno nedostatkem</w:t>
      </w:r>
      <w:r w:rsidR="00E85B77" w:rsidRPr="00E02292">
        <w:rPr>
          <w:rFonts w:ascii="Arial" w:hAnsi="Arial" w:cs="Arial"/>
          <w:sz w:val="20"/>
          <w:szCs w:val="20"/>
        </w:rPr>
        <w:t xml:space="preserve"> </w:t>
      </w:r>
      <w:r w:rsidRPr="00E02292">
        <w:rPr>
          <w:rFonts w:ascii="Arial" w:hAnsi="Arial" w:cs="Arial"/>
          <w:sz w:val="20"/>
          <w:szCs w:val="20"/>
        </w:rPr>
        <w:t>dodávek a politick</w:t>
      </w:r>
      <w:r w:rsidR="007905D5">
        <w:rPr>
          <w:rFonts w:ascii="Arial" w:hAnsi="Arial" w:cs="Arial"/>
          <w:sz w:val="20"/>
          <w:szCs w:val="20"/>
        </w:rPr>
        <w:t>ým</w:t>
      </w:r>
      <w:r w:rsidRPr="00E02292">
        <w:rPr>
          <w:rFonts w:ascii="Arial" w:hAnsi="Arial" w:cs="Arial"/>
          <w:sz w:val="20"/>
          <w:szCs w:val="20"/>
        </w:rPr>
        <w:t xml:space="preserve"> n</w:t>
      </w:r>
      <w:r w:rsidR="00E85B77" w:rsidRPr="00E02292">
        <w:rPr>
          <w:rFonts w:ascii="Arial" w:hAnsi="Arial" w:cs="Arial"/>
          <w:sz w:val="20"/>
          <w:szCs w:val="20"/>
        </w:rPr>
        <w:t>apětí</w:t>
      </w:r>
      <w:r w:rsidR="007905D5">
        <w:rPr>
          <w:rFonts w:ascii="Arial" w:hAnsi="Arial" w:cs="Arial"/>
          <w:sz w:val="20"/>
          <w:szCs w:val="20"/>
        </w:rPr>
        <w:t>m</w:t>
      </w:r>
      <w:r w:rsidRPr="00E02292">
        <w:rPr>
          <w:rFonts w:ascii="Arial" w:hAnsi="Arial" w:cs="Arial"/>
          <w:sz w:val="20"/>
          <w:szCs w:val="20"/>
        </w:rPr>
        <w:t xml:space="preserve"> ve východní Evropě a na Středním východě, které by mohlo vyústit </w:t>
      </w:r>
      <w:r w:rsidR="00E02292" w:rsidRPr="00E02292">
        <w:rPr>
          <w:rFonts w:ascii="Arial" w:hAnsi="Arial" w:cs="Arial"/>
          <w:sz w:val="20"/>
          <w:szCs w:val="20"/>
        </w:rPr>
        <w:t>až v odstřižení dodávek. Mírnější růst v lednu zaznamenala zemědělská složka</w:t>
      </w:r>
      <w:r w:rsidRPr="00E02292">
        <w:rPr>
          <w:rFonts w:ascii="Arial" w:hAnsi="Arial" w:cs="Arial"/>
          <w:sz w:val="20"/>
          <w:szCs w:val="20"/>
        </w:rPr>
        <w:t>.</w:t>
      </w:r>
    </w:p>
    <w:p w14:paraId="60C8BBD6" w14:textId="77777777" w:rsidR="00A23DCC" w:rsidRPr="003F652F" w:rsidRDefault="00A23DCC" w:rsidP="00A23DC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066F7E4" w14:textId="36D6ED37" w:rsidR="00A23DCC" w:rsidRPr="002439B4" w:rsidRDefault="00E02292" w:rsidP="00A23DCC">
      <w:pPr>
        <w:jc w:val="both"/>
        <w:rPr>
          <w:rFonts w:ascii="Arial" w:hAnsi="Arial" w:cs="Arial"/>
          <w:sz w:val="20"/>
          <w:szCs w:val="20"/>
        </w:rPr>
      </w:pPr>
      <w:r w:rsidRPr="00355D3E">
        <w:rPr>
          <w:rFonts w:ascii="Arial" w:hAnsi="Arial" w:cs="Arial"/>
          <w:sz w:val="20"/>
          <w:szCs w:val="20"/>
        </w:rPr>
        <w:t xml:space="preserve">V lednu se </w:t>
      </w:r>
      <w:r w:rsidR="00B00BCA" w:rsidRPr="00355D3E">
        <w:rPr>
          <w:rFonts w:ascii="Arial" w:hAnsi="Arial" w:cs="Arial"/>
          <w:sz w:val="20"/>
          <w:szCs w:val="20"/>
        </w:rPr>
        <w:t xml:space="preserve">také </w:t>
      </w:r>
      <w:r w:rsidRPr="00355D3E">
        <w:rPr>
          <w:rFonts w:ascii="Arial" w:hAnsi="Arial" w:cs="Arial"/>
          <w:sz w:val="20"/>
          <w:szCs w:val="20"/>
        </w:rPr>
        <w:t xml:space="preserve">dařilo nemovitostním fondům a </w:t>
      </w:r>
      <w:r w:rsidR="00A23DCC" w:rsidRPr="00355D3E">
        <w:rPr>
          <w:rFonts w:ascii="Arial" w:hAnsi="Arial" w:cs="Arial"/>
          <w:sz w:val="20"/>
          <w:szCs w:val="20"/>
        </w:rPr>
        <w:t>fond</w:t>
      </w:r>
      <w:r w:rsidRPr="00355D3E">
        <w:rPr>
          <w:rFonts w:ascii="Arial" w:hAnsi="Arial" w:cs="Arial"/>
          <w:sz w:val="20"/>
          <w:szCs w:val="20"/>
        </w:rPr>
        <w:t xml:space="preserve">ům peněžního trhu, které si připsaly 0,60 %, resp. 0,83 %. V dlouhodobém pohledu však fondy peněžního trhu pozitivní výsledky nepřinesly, za posledních 12 měsíců </w:t>
      </w:r>
      <w:r w:rsidR="00A23DCC" w:rsidRPr="00355D3E">
        <w:rPr>
          <w:rFonts w:ascii="Arial" w:hAnsi="Arial" w:cs="Arial"/>
          <w:sz w:val="20"/>
          <w:szCs w:val="20"/>
        </w:rPr>
        <w:t>vykázaly záporné hodnoty</w:t>
      </w:r>
      <w:r w:rsidRPr="00355D3E">
        <w:rPr>
          <w:rFonts w:ascii="Arial" w:hAnsi="Arial" w:cs="Arial"/>
          <w:sz w:val="20"/>
          <w:szCs w:val="20"/>
        </w:rPr>
        <w:t>,</w:t>
      </w:r>
      <w:r w:rsidR="00A23DCC" w:rsidRPr="00355D3E">
        <w:rPr>
          <w:rFonts w:ascii="Arial" w:hAnsi="Arial" w:cs="Arial"/>
          <w:sz w:val="20"/>
          <w:szCs w:val="20"/>
        </w:rPr>
        <w:t xml:space="preserve"> a to -3,73 %. Fondy nemovitostní </w:t>
      </w:r>
      <w:r w:rsidR="00355D3E" w:rsidRPr="00355D3E">
        <w:rPr>
          <w:rFonts w:ascii="Arial" w:hAnsi="Arial" w:cs="Arial"/>
          <w:sz w:val="20"/>
          <w:szCs w:val="20"/>
        </w:rPr>
        <w:t xml:space="preserve">byly úspěšnější, za stejné období </w:t>
      </w:r>
      <w:r w:rsidR="00355D3E">
        <w:rPr>
          <w:rFonts w:ascii="Arial" w:hAnsi="Arial" w:cs="Arial"/>
          <w:sz w:val="20"/>
          <w:szCs w:val="20"/>
        </w:rPr>
        <w:t xml:space="preserve">posílily na </w:t>
      </w:r>
      <w:r w:rsidR="00A23DCC" w:rsidRPr="00355D3E">
        <w:rPr>
          <w:rFonts w:ascii="Arial" w:hAnsi="Arial" w:cs="Arial"/>
          <w:sz w:val="20"/>
          <w:szCs w:val="20"/>
        </w:rPr>
        <w:t>3,18 %.</w:t>
      </w:r>
    </w:p>
    <w:p w14:paraId="5E8C836C" w14:textId="77777777" w:rsidR="00A23DCC" w:rsidRDefault="00A23DCC" w:rsidP="00A23DCC">
      <w:pPr>
        <w:jc w:val="both"/>
        <w:rPr>
          <w:rFonts w:ascii="Arial" w:hAnsi="Arial" w:cs="Arial"/>
          <w:sz w:val="20"/>
          <w:szCs w:val="20"/>
        </w:rPr>
      </w:pPr>
    </w:p>
    <w:p w14:paraId="3940CC8E" w14:textId="781589CD" w:rsidR="00A23DCC" w:rsidRDefault="00355D3E" w:rsidP="00A23DC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Pověstného Černého Petra si vytáhly dl</w:t>
      </w:r>
      <w:r w:rsidR="00A23DCC" w:rsidRPr="002439B4">
        <w:rPr>
          <w:rFonts w:ascii="Arial" w:hAnsi="Arial" w:cs="Arial"/>
          <w:sz w:val="20"/>
          <w:szCs w:val="20"/>
        </w:rPr>
        <w:t>uhopisové fondy</w:t>
      </w:r>
      <w:r>
        <w:rPr>
          <w:rFonts w:ascii="Arial" w:hAnsi="Arial" w:cs="Arial"/>
          <w:sz w:val="20"/>
          <w:szCs w:val="20"/>
        </w:rPr>
        <w:t>, které</w:t>
      </w:r>
      <w:r w:rsidR="00A23DCC" w:rsidRPr="002439B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lednu </w:t>
      </w:r>
      <w:r w:rsidR="00B00BCA">
        <w:rPr>
          <w:rFonts w:ascii="Arial" w:hAnsi="Arial" w:cs="Arial"/>
          <w:sz w:val="20"/>
          <w:szCs w:val="20"/>
        </w:rPr>
        <w:t>sestoupily</w:t>
      </w:r>
      <w:r>
        <w:rPr>
          <w:rFonts w:ascii="Arial" w:hAnsi="Arial" w:cs="Arial"/>
          <w:sz w:val="20"/>
          <w:szCs w:val="20"/>
        </w:rPr>
        <w:t xml:space="preserve"> až na hodnotu -0,50 %. </w:t>
      </w:r>
      <w:r w:rsidRPr="00355D3E">
        <w:rPr>
          <w:rFonts w:ascii="Arial" w:hAnsi="Arial" w:cs="Arial"/>
          <w:i/>
          <w:sz w:val="20"/>
          <w:szCs w:val="20"/>
        </w:rPr>
        <w:t xml:space="preserve">„Dluhopisové fondy budou pravděpodobně dál pokračovat </w:t>
      </w:r>
      <w:r w:rsidR="00A23DCC" w:rsidRPr="00355D3E">
        <w:rPr>
          <w:rFonts w:ascii="Arial" w:hAnsi="Arial" w:cs="Arial"/>
          <w:i/>
          <w:sz w:val="20"/>
          <w:szCs w:val="20"/>
        </w:rPr>
        <w:t>v </w:t>
      </w:r>
      <w:r w:rsidR="00B00BCA">
        <w:rPr>
          <w:rFonts w:ascii="Arial" w:hAnsi="Arial" w:cs="Arial"/>
          <w:i/>
          <w:sz w:val="20"/>
          <w:szCs w:val="20"/>
        </w:rPr>
        <w:t>poklesu</w:t>
      </w:r>
      <w:r w:rsidR="00A23DCC" w:rsidRPr="00355D3E">
        <w:rPr>
          <w:rFonts w:ascii="Arial" w:hAnsi="Arial" w:cs="Arial"/>
          <w:i/>
          <w:sz w:val="20"/>
          <w:szCs w:val="20"/>
        </w:rPr>
        <w:t xml:space="preserve">, zejména </w:t>
      </w:r>
      <w:r w:rsidRPr="00355D3E">
        <w:rPr>
          <w:rFonts w:ascii="Arial" w:hAnsi="Arial" w:cs="Arial"/>
          <w:i/>
          <w:sz w:val="20"/>
          <w:szCs w:val="20"/>
        </w:rPr>
        <w:t>kvůli</w:t>
      </w:r>
      <w:r w:rsidR="00A23DCC" w:rsidRPr="00355D3E">
        <w:rPr>
          <w:rFonts w:ascii="Arial" w:hAnsi="Arial" w:cs="Arial"/>
          <w:i/>
          <w:sz w:val="20"/>
          <w:szCs w:val="20"/>
        </w:rPr>
        <w:t xml:space="preserve"> zvyšování úrokových sazeb národních bank. </w:t>
      </w:r>
      <w:r>
        <w:rPr>
          <w:rFonts w:ascii="Arial" w:hAnsi="Arial" w:cs="Arial"/>
          <w:i/>
          <w:sz w:val="20"/>
          <w:szCs w:val="20"/>
        </w:rPr>
        <w:t>V</w:t>
      </w:r>
      <w:r w:rsidRPr="00355D3E">
        <w:rPr>
          <w:rFonts w:ascii="Arial" w:hAnsi="Arial" w:cs="Arial"/>
          <w:i/>
          <w:sz w:val="20"/>
          <w:szCs w:val="20"/>
        </w:rPr>
        <w:t xml:space="preserve"> době zvyšování těchto sazeb zažívají </w:t>
      </w:r>
      <w:r>
        <w:rPr>
          <w:rFonts w:ascii="Arial" w:hAnsi="Arial" w:cs="Arial"/>
          <w:i/>
          <w:sz w:val="20"/>
          <w:szCs w:val="20"/>
        </w:rPr>
        <w:t>d</w:t>
      </w:r>
      <w:r w:rsidR="00A23DCC" w:rsidRPr="00355D3E">
        <w:rPr>
          <w:rFonts w:ascii="Arial" w:hAnsi="Arial" w:cs="Arial"/>
          <w:i/>
          <w:sz w:val="20"/>
          <w:szCs w:val="20"/>
        </w:rPr>
        <w:t xml:space="preserve">luhopisy snižování ceny, </w:t>
      </w:r>
      <w:r>
        <w:rPr>
          <w:rFonts w:ascii="Arial" w:hAnsi="Arial" w:cs="Arial"/>
          <w:i/>
          <w:sz w:val="20"/>
          <w:szCs w:val="20"/>
        </w:rPr>
        <w:t>zatímco</w:t>
      </w:r>
      <w:r w:rsidR="00A23DCC" w:rsidRPr="00355D3E">
        <w:rPr>
          <w:rFonts w:ascii="Arial" w:hAnsi="Arial" w:cs="Arial"/>
          <w:i/>
          <w:sz w:val="20"/>
          <w:szCs w:val="20"/>
        </w:rPr>
        <w:t xml:space="preserve"> výnosy z dluhopisů do splatnosti </w:t>
      </w:r>
      <w:r w:rsidRPr="00355D3E">
        <w:rPr>
          <w:rFonts w:ascii="Arial" w:hAnsi="Arial" w:cs="Arial"/>
          <w:i/>
          <w:sz w:val="20"/>
          <w:szCs w:val="20"/>
        </w:rPr>
        <w:t>jdou nahoru,“</w:t>
      </w:r>
      <w:r>
        <w:rPr>
          <w:rFonts w:ascii="Arial" w:hAnsi="Arial" w:cs="Arial"/>
          <w:sz w:val="20"/>
          <w:szCs w:val="20"/>
        </w:rPr>
        <w:t xml:space="preserve"> </w:t>
      </w:r>
      <w:r w:rsidR="00B00BCA">
        <w:rPr>
          <w:rFonts w:ascii="Arial" w:hAnsi="Arial" w:cs="Arial"/>
          <w:sz w:val="20"/>
          <w:szCs w:val="20"/>
        </w:rPr>
        <w:t>vysvětluje</w:t>
      </w:r>
      <w:r>
        <w:rPr>
          <w:rFonts w:ascii="Arial" w:hAnsi="Arial" w:cs="Arial"/>
          <w:sz w:val="20"/>
          <w:szCs w:val="20"/>
        </w:rPr>
        <w:t xml:space="preserve"> Dominik Šulta</w:t>
      </w:r>
      <w:r w:rsidR="00A23DCC" w:rsidRPr="002439B4">
        <w:rPr>
          <w:rFonts w:ascii="Arial" w:hAnsi="Arial" w:cs="Arial"/>
          <w:sz w:val="20"/>
          <w:szCs w:val="20"/>
        </w:rPr>
        <w:t xml:space="preserve">.  </w:t>
      </w:r>
    </w:p>
    <w:p w14:paraId="1E309A3E" w14:textId="77777777" w:rsidR="00A23DCC" w:rsidRPr="002439B4" w:rsidRDefault="00A23DCC" w:rsidP="00A23DCC">
      <w:pPr>
        <w:jc w:val="both"/>
        <w:rPr>
          <w:rFonts w:ascii="Arial" w:hAnsi="Arial" w:cs="Arial"/>
          <w:sz w:val="20"/>
          <w:szCs w:val="20"/>
        </w:rPr>
      </w:pPr>
    </w:p>
    <w:p w14:paraId="5D40F2E8" w14:textId="0B44DC53" w:rsidR="005051FB" w:rsidRDefault="0088326D" w:rsidP="007905D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29829A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138pt">
            <v:imagedata r:id="rId25" o:title="TAB BC Index podilovych fondu - leden 2022"/>
          </v:shape>
        </w:pict>
      </w:r>
    </w:p>
    <w:p w14:paraId="6BC50C8E" w14:textId="77777777" w:rsidR="007905D5" w:rsidRDefault="007905D5" w:rsidP="007905D5">
      <w:pPr>
        <w:jc w:val="center"/>
        <w:rPr>
          <w:rFonts w:ascii="Arial" w:hAnsi="Arial" w:cs="Arial"/>
          <w:sz w:val="20"/>
          <w:szCs w:val="20"/>
        </w:rPr>
      </w:pPr>
    </w:p>
    <w:p w14:paraId="59CAE402" w14:textId="78FB1FD7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488A85B8" w14:textId="77777777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2B6ED2B9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2613E4D1" w14:textId="73E088E9" w:rsidR="00A13346" w:rsidRDefault="00A1334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77777777" w:rsidR="00833ECF" w:rsidRDefault="00833ECF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66844AE4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lastRenderedPageBreak/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  <w:bookmarkStart w:id="0" w:name="_GoBack"/>
      <w:bookmarkEnd w:id="0"/>
    </w:p>
    <w:p w14:paraId="25594E3F" w14:textId="77777777" w:rsidR="00E05804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3F97DBB" w:rsidR="00E32181" w:rsidRPr="00E05804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6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41EF8" w14:textId="77777777" w:rsidR="0034220D" w:rsidRDefault="0034220D">
      <w:r>
        <w:separator/>
      </w:r>
    </w:p>
  </w:endnote>
  <w:endnote w:type="continuationSeparator" w:id="0">
    <w:p w14:paraId="34BE0E6D" w14:textId="77777777" w:rsidR="0034220D" w:rsidRDefault="00342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34220D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34220D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34220D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700E0" w14:textId="77777777" w:rsidR="0034220D" w:rsidRDefault="0034220D">
      <w:r>
        <w:separator/>
      </w:r>
    </w:p>
  </w:footnote>
  <w:footnote w:type="continuationSeparator" w:id="0">
    <w:p w14:paraId="2DC37FEA" w14:textId="77777777" w:rsidR="0034220D" w:rsidRDefault="00342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FF5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012F"/>
    <w:rsid w:val="000611E3"/>
    <w:rsid w:val="000663B6"/>
    <w:rsid w:val="00070DAC"/>
    <w:rsid w:val="00073AD9"/>
    <w:rsid w:val="000766E7"/>
    <w:rsid w:val="00081616"/>
    <w:rsid w:val="000853D4"/>
    <w:rsid w:val="00090CF3"/>
    <w:rsid w:val="0009776B"/>
    <w:rsid w:val="000A60B9"/>
    <w:rsid w:val="000B060E"/>
    <w:rsid w:val="000D14E2"/>
    <w:rsid w:val="000E1085"/>
    <w:rsid w:val="000E3D86"/>
    <w:rsid w:val="000E79A9"/>
    <w:rsid w:val="000F5AB4"/>
    <w:rsid w:val="000F6249"/>
    <w:rsid w:val="001068FC"/>
    <w:rsid w:val="001103A6"/>
    <w:rsid w:val="00111C28"/>
    <w:rsid w:val="00114C29"/>
    <w:rsid w:val="001152A6"/>
    <w:rsid w:val="00117FB4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61879"/>
    <w:rsid w:val="00162672"/>
    <w:rsid w:val="001675AF"/>
    <w:rsid w:val="0017084B"/>
    <w:rsid w:val="001767A5"/>
    <w:rsid w:val="00180D72"/>
    <w:rsid w:val="00192716"/>
    <w:rsid w:val="0019453C"/>
    <w:rsid w:val="00197879"/>
    <w:rsid w:val="001A54DD"/>
    <w:rsid w:val="001A5E76"/>
    <w:rsid w:val="001A613B"/>
    <w:rsid w:val="001B088B"/>
    <w:rsid w:val="001B501B"/>
    <w:rsid w:val="001D015A"/>
    <w:rsid w:val="001D3DFC"/>
    <w:rsid w:val="001D5D27"/>
    <w:rsid w:val="001E4209"/>
    <w:rsid w:val="001F7194"/>
    <w:rsid w:val="001F71BA"/>
    <w:rsid w:val="002141AF"/>
    <w:rsid w:val="002217AA"/>
    <w:rsid w:val="002368F3"/>
    <w:rsid w:val="002368FB"/>
    <w:rsid w:val="00241313"/>
    <w:rsid w:val="0025264B"/>
    <w:rsid w:val="0025428A"/>
    <w:rsid w:val="00265810"/>
    <w:rsid w:val="0026621E"/>
    <w:rsid w:val="00270DB3"/>
    <w:rsid w:val="00276C57"/>
    <w:rsid w:val="002831A1"/>
    <w:rsid w:val="00295407"/>
    <w:rsid w:val="00297CEA"/>
    <w:rsid w:val="002A4BC3"/>
    <w:rsid w:val="002A5439"/>
    <w:rsid w:val="002A7937"/>
    <w:rsid w:val="002B43B8"/>
    <w:rsid w:val="002C35D8"/>
    <w:rsid w:val="002D2A18"/>
    <w:rsid w:val="002D539D"/>
    <w:rsid w:val="002D7A2E"/>
    <w:rsid w:val="002F002B"/>
    <w:rsid w:val="002F3074"/>
    <w:rsid w:val="002F485A"/>
    <w:rsid w:val="002F7EC2"/>
    <w:rsid w:val="00307229"/>
    <w:rsid w:val="00307E95"/>
    <w:rsid w:val="00310DBC"/>
    <w:rsid w:val="003128F8"/>
    <w:rsid w:val="003247B0"/>
    <w:rsid w:val="00330918"/>
    <w:rsid w:val="003326F9"/>
    <w:rsid w:val="00334048"/>
    <w:rsid w:val="0034220D"/>
    <w:rsid w:val="00342F85"/>
    <w:rsid w:val="00347557"/>
    <w:rsid w:val="00347D68"/>
    <w:rsid w:val="00352515"/>
    <w:rsid w:val="00355366"/>
    <w:rsid w:val="00355D3E"/>
    <w:rsid w:val="003606E0"/>
    <w:rsid w:val="003629B6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64E9"/>
    <w:rsid w:val="003E7356"/>
    <w:rsid w:val="003F0400"/>
    <w:rsid w:val="003F1100"/>
    <w:rsid w:val="003F652F"/>
    <w:rsid w:val="003F79EC"/>
    <w:rsid w:val="00403571"/>
    <w:rsid w:val="00407541"/>
    <w:rsid w:val="00413BEC"/>
    <w:rsid w:val="00417787"/>
    <w:rsid w:val="00421847"/>
    <w:rsid w:val="0042193A"/>
    <w:rsid w:val="00421BEC"/>
    <w:rsid w:val="00423383"/>
    <w:rsid w:val="00425687"/>
    <w:rsid w:val="004313F1"/>
    <w:rsid w:val="00445D0A"/>
    <w:rsid w:val="00454843"/>
    <w:rsid w:val="004627B9"/>
    <w:rsid w:val="004632E5"/>
    <w:rsid w:val="004766EC"/>
    <w:rsid w:val="00497374"/>
    <w:rsid w:val="004B1CE6"/>
    <w:rsid w:val="004B5797"/>
    <w:rsid w:val="004C398C"/>
    <w:rsid w:val="004C3F71"/>
    <w:rsid w:val="004C7DDE"/>
    <w:rsid w:val="004E18FD"/>
    <w:rsid w:val="004E55FE"/>
    <w:rsid w:val="004E7AEB"/>
    <w:rsid w:val="004E7E0B"/>
    <w:rsid w:val="00500F93"/>
    <w:rsid w:val="005051FB"/>
    <w:rsid w:val="00505697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842ED"/>
    <w:rsid w:val="005966D4"/>
    <w:rsid w:val="005A3473"/>
    <w:rsid w:val="005A37E5"/>
    <w:rsid w:val="005A481B"/>
    <w:rsid w:val="005A5BBA"/>
    <w:rsid w:val="005A5F08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3538"/>
    <w:rsid w:val="0061103B"/>
    <w:rsid w:val="0061253F"/>
    <w:rsid w:val="006135FD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177B"/>
    <w:rsid w:val="006939E4"/>
    <w:rsid w:val="00697EB5"/>
    <w:rsid w:val="006A2F6C"/>
    <w:rsid w:val="006A3BE2"/>
    <w:rsid w:val="006A4030"/>
    <w:rsid w:val="006A48F1"/>
    <w:rsid w:val="006A6681"/>
    <w:rsid w:val="006C61E8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57D8B"/>
    <w:rsid w:val="00761868"/>
    <w:rsid w:val="00761D9B"/>
    <w:rsid w:val="00771B91"/>
    <w:rsid w:val="00771DFE"/>
    <w:rsid w:val="00776CBE"/>
    <w:rsid w:val="007824F4"/>
    <w:rsid w:val="00784109"/>
    <w:rsid w:val="00785FC5"/>
    <w:rsid w:val="0078631B"/>
    <w:rsid w:val="00786BA5"/>
    <w:rsid w:val="007905D5"/>
    <w:rsid w:val="00791A2B"/>
    <w:rsid w:val="00792EE9"/>
    <w:rsid w:val="0079572A"/>
    <w:rsid w:val="007A1121"/>
    <w:rsid w:val="007A1122"/>
    <w:rsid w:val="007A15A6"/>
    <w:rsid w:val="007A5987"/>
    <w:rsid w:val="007B026B"/>
    <w:rsid w:val="007B048D"/>
    <w:rsid w:val="007B232E"/>
    <w:rsid w:val="007B358E"/>
    <w:rsid w:val="007B435F"/>
    <w:rsid w:val="007B4E88"/>
    <w:rsid w:val="007B6899"/>
    <w:rsid w:val="007C7B64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5880"/>
    <w:rsid w:val="0084178F"/>
    <w:rsid w:val="00845A34"/>
    <w:rsid w:val="00846F99"/>
    <w:rsid w:val="00851C45"/>
    <w:rsid w:val="00863B54"/>
    <w:rsid w:val="00870F82"/>
    <w:rsid w:val="0088035D"/>
    <w:rsid w:val="0088046D"/>
    <w:rsid w:val="0088326D"/>
    <w:rsid w:val="00883A3E"/>
    <w:rsid w:val="00885B2F"/>
    <w:rsid w:val="00886F0E"/>
    <w:rsid w:val="00890117"/>
    <w:rsid w:val="008926E5"/>
    <w:rsid w:val="008926F3"/>
    <w:rsid w:val="00892C78"/>
    <w:rsid w:val="00893577"/>
    <w:rsid w:val="008A04D3"/>
    <w:rsid w:val="008A14E4"/>
    <w:rsid w:val="008A2132"/>
    <w:rsid w:val="008B480A"/>
    <w:rsid w:val="008C0E53"/>
    <w:rsid w:val="008C1795"/>
    <w:rsid w:val="008C4B0D"/>
    <w:rsid w:val="008C6335"/>
    <w:rsid w:val="008D397B"/>
    <w:rsid w:val="008E065B"/>
    <w:rsid w:val="008E19F3"/>
    <w:rsid w:val="008E2945"/>
    <w:rsid w:val="008F241C"/>
    <w:rsid w:val="008F6AAF"/>
    <w:rsid w:val="00906176"/>
    <w:rsid w:val="00906E67"/>
    <w:rsid w:val="00915ADA"/>
    <w:rsid w:val="009222C9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77040"/>
    <w:rsid w:val="0098121D"/>
    <w:rsid w:val="00982987"/>
    <w:rsid w:val="0098362A"/>
    <w:rsid w:val="00991554"/>
    <w:rsid w:val="009A69B1"/>
    <w:rsid w:val="009C0ECA"/>
    <w:rsid w:val="009C0F81"/>
    <w:rsid w:val="009C45BA"/>
    <w:rsid w:val="009D05AD"/>
    <w:rsid w:val="009D2821"/>
    <w:rsid w:val="009D2ECE"/>
    <w:rsid w:val="009D68F9"/>
    <w:rsid w:val="009E0062"/>
    <w:rsid w:val="009E317D"/>
    <w:rsid w:val="009E3B52"/>
    <w:rsid w:val="009F2CB2"/>
    <w:rsid w:val="009F2CEE"/>
    <w:rsid w:val="009F59EE"/>
    <w:rsid w:val="009F5B6E"/>
    <w:rsid w:val="00A0060A"/>
    <w:rsid w:val="00A02308"/>
    <w:rsid w:val="00A025BA"/>
    <w:rsid w:val="00A069E2"/>
    <w:rsid w:val="00A11C0F"/>
    <w:rsid w:val="00A11C90"/>
    <w:rsid w:val="00A12A99"/>
    <w:rsid w:val="00A13346"/>
    <w:rsid w:val="00A15E33"/>
    <w:rsid w:val="00A2214C"/>
    <w:rsid w:val="00A23DCC"/>
    <w:rsid w:val="00A30D93"/>
    <w:rsid w:val="00A31FAC"/>
    <w:rsid w:val="00A36D79"/>
    <w:rsid w:val="00A36E5B"/>
    <w:rsid w:val="00A37B91"/>
    <w:rsid w:val="00A40B94"/>
    <w:rsid w:val="00A4618A"/>
    <w:rsid w:val="00A55E01"/>
    <w:rsid w:val="00A55E85"/>
    <w:rsid w:val="00A61996"/>
    <w:rsid w:val="00A726DE"/>
    <w:rsid w:val="00A75776"/>
    <w:rsid w:val="00A77932"/>
    <w:rsid w:val="00A7796E"/>
    <w:rsid w:val="00A77CA3"/>
    <w:rsid w:val="00A80480"/>
    <w:rsid w:val="00A82DA1"/>
    <w:rsid w:val="00A9461D"/>
    <w:rsid w:val="00AA1259"/>
    <w:rsid w:val="00AA218A"/>
    <w:rsid w:val="00AB5142"/>
    <w:rsid w:val="00AC614D"/>
    <w:rsid w:val="00AE548F"/>
    <w:rsid w:val="00B00BCA"/>
    <w:rsid w:val="00B058E3"/>
    <w:rsid w:val="00B0678D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2371"/>
    <w:rsid w:val="00B646D6"/>
    <w:rsid w:val="00B65A3B"/>
    <w:rsid w:val="00B731F5"/>
    <w:rsid w:val="00B75627"/>
    <w:rsid w:val="00B80A35"/>
    <w:rsid w:val="00B87498"/>
    <w:rsid w:val="00B90112"/>
    <w:rsid w:val="00B90487"/>
    <w:rsid w:val="00B927D5"/>
    <w:rsid w:val="00B95BB2"/>
    <w:rsid w:val="00B95EBA"/>
    <w:rsid w:val="00B97868"/>
    <w:rsid w:val="00BA1FA3"/>
    <w:rsid w:val="00BA23D8"/>
    <w:rsid w:val="00BA7889"/>
    <w:rsid w:val="00BB1CB8"/>
    <w:rsid w:val="00BB3F93"/>
    <w:rsid w:val="00BB4D49"/>
    <w:rsid w:val="00BB6439"/>
    <w:rsid w:val="00BB675F"/>
    <w:rsid w:val="00BC3FF4"/>
    <w:rsid w:val="00BD17B0"/>
    <w:rsid w:val="00BD3970"/>
    <w:rsid w:val="00BD5A47"/>
    <w:rsid w:val="00BE1DA6"/>
    <w:rsid w:val="00BE4FDB"/>
    <w:rsid w:val="00BF4A15"/>
    <w:rsid w:val="00BF6A33"/>
    <w:rsid w:val="00BF7A45"/>
    <w:rsid w:val="00C20A13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A662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2EE1"/>
    <w:rsid w:val="00D33258"/>
    <w:rsid w:val="00D453BF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4BDD"/>
    <w:rsid w:val="00DE5847"/>
    <w:rsid w:val="00DE69CC"/>
    <w:rsid w:val="00DF04DA"/>
    <w:rsid w:val="00E00DC6"/>
    <w:rsid w:val="00E02292"/>
    <w:rsid w:val="00E05804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3BA2"/>
    <w:rsid w:val="00EA477A"/>
    <w:rsid w:val="00EC2121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03F85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3DEC"/>
    <w:rsid w:val="00F5470D"/>
    <w:rsid w:val="00F569B4"/>
    <w:rsid w:val="00F63CCA"/>
    <w:rsid w:val="00F64000"/>
    <w:rsid w:val="00F7238C"/>
    <w:rsid w:val="00F852D9"/>
    <w:rsid w:val="00F87177"/>
    <w:rsid w:val="00F9173C"/>
    <w:rsid w:val="00F9256E"/>
    <w:rsid w:val="00F96EED"/>
    <w:rsid w:val="00FB18D0"/>
    <w:rsid w:val="00FB2ED6"/>
    <w:rsid w:val="00FC2522"/>
    <w:rsid w:val="00FC31B6"/>
    <w:rsid w:val="00FC4324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ereza.kun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E7668-E39F-45A5-8399-BD1BF0ED3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917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19</cp:revision>
  <dcterms:created xsi:type="dcterms:W3CDTF">2021-12-08T10:57:00Z</dcterms:created>
  <dcterms:modified xsi:type="dcterms:W3CDTF">2022-02-10T09:33:00Z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