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highlight w:val="yellow"/>
        </w:rPr>
        <w:id w:val="120037484"/>
        <w:docPartObj>
          <w:docPartGallery w:val="Cover Pages"/>
          <w:docPartUnique/>
        </w:docPartObj>
      </w:sdtPr>
      <w:sdtEndPr>
        <w:rPr>
          <w:rFonts w:ascii="Arial" w:hAnsi="Arial" w:cs="Arial"/>
          <w:b/>
          <w:sz w:val="20"/>
          <w:szCs w:val="20"/>
        </w:rPr>
      </w:sdtEndPr>
      <w:sdtContent>
        <w:p w14:paraId="718E6546" w14:textId="3DEA865B" w:rsidR="00D80B6D" w:rsidRPr="00FC2522" w:rsidRDefault="00D80B6D">
          <w:pPr>
            <w:rPr>
              <w:highlight w:val="yellow"/>
            </w:rPr>
          </w:pPr>
        </w:p>
        <w:p w14:paraId="7ED014A1" w14:textId="77777777" w:rsidR="00D80B6D" w:rsidRPr="00FC2522" w:rsidRDefault="00D80B6D" w:rsidP="00D80B6D">
          <w:pPr>
            <w:pStyle w:val="Nadpis3"/>
            <w:spacing w:before="10"/>
            <w:rPr>
              <w:rFonts w:ascii="Arial" w:hAnsi="Arial" w:cs="Arial"/>
              <w:color w:val="1D1D1B"/>
              <w:highlight w:val="yellow"/>
            </w:rPr>
          </w:pPr>
        </w:p>
        <w:p w14:paraId="0FB45B67" w14:textId="77777777" w:rsidR="00D80B6D" w:rsidRPr="004B5797" w:rsidRDefault="00D80B6D" w:rsidP="00D80B6D">
          <w:pPr>
            <w:spacing w:before="230"/>
            <w:ind w:left="165"/>
            <w:jc w:val="center"/>
            <w:rPr>
              <w:rFonts w:ascii="Arial" w:hAnsi="Arial" w:cs="Arial"/>
              <w:color w:val="CD1719"/>
              <w:sz w:val="24"/>
            </w:rPr>
          </w:pPr>
          <w:r w:rsidRPr="004B5797">
            <w:rPr>
              <w:rFonts w:ascii="Arial" w:hAnsi="Arial" w:cs="Arial"/>
              <w:color w:val="1D1D1B"/>
              <w:sz w:val="24"/>
            </w:rPr>
            <w:t xml:space="preserve">INDEX HYPOTEČNÍCH ÚVĚRŮ </w:t>
          </w:r>
          <w:r w:rsidRPr="004B5797">
            <w:rPr>
              <w:rFonts w:ascii="Arial" w:hAnsi="Arial" w:cs="Arial"/>
              <w:color w:val="CD1719"/>
              <w:sz w:val="24"/>
            </w:rPr>
            <w:t xml:space="preserve">| </w:t>
          </w:r>
          <w:r w:rsidRPr="004B5797">
            <w:rPr>
              <w:rFonts w:ascii="Arial" w:hAnsi="Arial" w:cs="Arial"/>
              <w:color w:val="1D1D1B"/>
              <w:sz w:val="24"/>
            </w:rPr>
            <w:t xml:space="preserve">FIXINDEX </w:t>
          </w:r>
        </w:p>
        <w:p w14:paraId="32900BCE" w14:textId="2933662C" w:rsidR="00D80B6D" w:rsidRPr="004B5797" w:rsidRDefault="00A252BA" w:rsidP="00D80B6D">
          <w:pPr>
            <w:spacing w:before="230"/>
            <w:ind w:left="165"/>
            <w:jc w:val="center"/>
            <w:rPr>
              <w:rFonts w:ascii="Arial" w:hAnsi="Arial" w:cs="Arial"/>
              <w:color w:val="1D1D1B"/>
              <w:sz w:val="24"/>
            </w:rPr>
          </w:pPr>
          <w:r>
            <w:rPr>
              <w:rFonts w:ascii="Arial" w:hAnsi="Arial" w:cs="Arial"/>
              <w:color w:val="1D1D1B"/>
              <w:sz w:val="24"/>
            </w:rPr>
            <w:t>POV</w:t>
          </w:r>
          <w:r w:rsidR="00D80B6D" w:rsidRPr="004B5797">
            <w:rPr>
              <w:rFonts w:ascii="Arial" w:hAnsi="Arial" w:cs="Arial"/>
              <w:color w:val="1D1D1B"/>
              <w:sz w:val="24"/>
            </w:rPr>
            <w:t xml:space="preserve">INDEX </w:t>
          </w:r>
        </w:p>
        <w:p w14:paraId="5B21B8A6" w14:textId="77777777" w:rsidR="00D80B6D" w:rsidRPr="004B5797" w:rsidRDefault="00D80B6D" w:rsidP="00D80B6D">
          <w:pPr>
            <w:spacing w:before="230"/>
            <w:ind w:left="165"/>
            <w:jc w:val="center"/>
            <w:rPr>
              <w:rFonts w:ascii="Arial" w:hAnsi="Arial" w:cs="Arial"/>
              <w:b/>
              <w:color w:val="CD1719"/>
              <w:sz w:val="24"/>
            </w:rPr>
          </w:pPr>
          <w:r w:rsidRPr="004B5797">
            <w:rPr>
              <w:rFonts w:ascii="Arial" w:hAnsi="Arial" w:cs="Arial"/>
              <w:b/>
              <w:color w:val="1D1D1B"/>
              <w:sz w:val="24"/>
            </w:rPr>
            <w:t xml:space="preserve">INDEX SPOTŘEBITELSKÝCH ÚVĚRŮ </w:t>
          </w:r>
          <w:r w:rsidRPr="004B5797">
            <w:rPr>
              <w:rFonts w:ascii="Arial" w:hAnsi="Arial" w:cs="Arial"/>
              <w:b/>
              <w:color w:val="CD1719"/>
              <w:sz w:val="24"/>
            </w:rPr>
            <w:t xml:space="preserve"> </w:t>
          </w:r>
        </w:p>
        <w:p w14:paraId="37B597D7" w14:textId="030ED6D6" w:rsidR="00032D94" w:rsidRPr="004B5797" w:rsidRDefault="00CA7673" w:rsidP="00D80B6D">
          <w:pPr>
            <w:spacing w:before="240" w:line="288" w:lineRule="exact"/>
            <w:ind w:left="162"/>
            <w:jc w:val="center"/>
            <w:rPr>
              <w:rFonts w:ascii="Arial" w:hAnsi="Arial" w:cs="Arial"/>
              <w:color w:val="1D1D1B"/>
              <w:sz w:val="24"/>
            </w:rPr>
          </w:pPr>
          <w:r>
            <w:rPr>
              <w:rFonts w:ascii="Arial" w:hAnsi="Arial" w:cs="Arial"/>
              <w:color w:val="1D1D1B"/>
              <w:sz w:val="24"/>
            </w:rPr>
            <w:t>INDEX PODÍLOVÝCH FONDŮ</w:t>
          </w:r>
        </w:p>
        <w:p w14:paraId="1FCC0C9E" w14:textId="77777777" w:rsidR="00D80B6D" w:rsidRPr="00FC2522" w:rsidRDefault="00D80B6D" w:rsidP="00D80B6D">
          <w:pPr>
            <w:pStyle w:val="Zkladntext"/>
            <w:spacing w:before="240"/>
            <w:rPr>
              <w:sz w:val="20"/>
              <w:highlight w:val="yellow"/>
            </w:rPr>
          </w:pPr>
        </w:p>
        <w:p w14:paraId="720CCDBB" w14:textId="77777777" w:rsidR="00D80B6D" w:rsidRPr="00FC2522" w:rsidRDefault="00D80B6D" w:rsidP="00D80B6D">
          <w:pPr>
            <w:pStyle w:val="Zkladntext"/>
            <w:spacing w:before="240"/>
            <w:rPr>
              <w:sz w:val="20"/>
              <w:highlight w:val="yellow"/>
            </w:rPr>
          </w:pPr>
        </w:p>
        <w:p w14:paraId="703D71F2" w14:textId="77777777" w:rsidR="00D80B6D" w:rsidRPr="00FC2522" w:rsidRDefault="00D80B6D" w:rsidP="00D80B6D">
          <w:pPr>
            <w:pStyle w:val="Zkladntext"/>
            <w:rPr>
              <w:sz w:val="20"/>
              <w:highlight w:val="yellow"/>
            </w:rPr>
          </w:pPr>
        </w:p>
        <w:p w14:paraId="00494A3A" w14:textId="77777777" w:rsidR="00D80B6D" w:rsidRPr="00FC2522" w:rsidRDefault="00D80B6D" w:rsidP="00D80B6D">
          <w:pPr>
            <w:pStyle w:val="Zkladntext"/>
            <w:rPr>
              <w:sz w:val="20"/>
              <w:highlight w:val="yellow"/>
            </w:rPr>
          </w:pPr>
          <w:r w:rsidRPr="00FC2522">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FC2522" w:rsidRDefault="00D80B6D" w:rsidP="00D80B6D">
          <w:pPr>
            <w:pStyle w:val="Zkladntext"/>
            <w:rPr>
              <w:sz w:val="20"/>
              <w:highlight w:val="yellow"/>
            </w:rPr>
          </w:pPr>
        </w:p>
        <w:p w14:paraId="2A5F355C" w14:textId="77777777" w:rsidR="00D80B6D" w:rsidRPr="00FC2522" w:rsidRDefault="00D80B6D" w:rsidP="00D80B6D">
          <w:pPr>
            <w:pStyle w:val="Zkladntext"/>
            <w:rPr>
              <w:sz w:val="20"/>
              <w:highlight w:val="yellow"/>
            </w:rPr>
          </w:pPr>
        </w:p>
        <w:p w14:paraId="218EE6CB" w14:textId="77777777" w:rsidR="00D80B6D" w:rsidRPr="00FC2522" w:rsidRDefault="00D80B6D" w:rsidP="00D80B6D">
          <w:pPr>
            <w:pStyle w:val="Zkladntext"/>
            <w:rPr>
              <w:sz w:val="20"/>
              <w:highlight w:val="yellow"/>
            </w:rPr>
          </w:pPr>
        </w:p>
        <w:p w14:paraId="0238B3AB" w14:textId="77777777" w:rsidR="00D80B6D" w:rsidRPr="00FC2522" w:rsidRDefault="00D80B6D" w:rsidP="00D80B6D">
          <w:pPr>
            <w:pStyle w:val="Zkladntext"/>
            <w:rPr>
              <w:sz w:val="20"/>
              <w:highlight w:val="yellow"/>
            </w:rPr>
          </w:pPr>
        </w:p>
        <w:p w14:paraId="54516A42" w14:textId="77777777" w:rsidR="00D80B6D" w:rsidRPr="00FC2522" w:rsidRDefault="00D80B6D" w:rsidP="00D80B6D">
          <w:pPr>
            <w:pStyle w:val="Zkladntext"/>
            <w:rPr>
              <w:sz w:val="20"/>
              <w:highlight w:val="yellow"/>
            </w:rPr>
          </w:pPr>
        </w:p>
        <w:p w14:paraId="5266363A" w14:textId="77777777" w:rsidR="00D80B6D" w:rsidRPr="00FC2522" w:rsidRDefault="00D80B6D" w:rsidP="00D80B6D">
          <w:pPr>
            <w:pStyle w:val="Zkladntext"/>
            <w:rPr>
              <w:sz w:val="20"/>
              <w:highlight w:val="yellow"/>
            </w:rPr>
          </w:pPr>
        </w:p>
        <w:p w14:paraId="363B2E28" w14:textId="77777777" w:rsidR="00D80B6D" w:rsidRPr="00FC2522" w:rsidRDefault="00D80B6D" w:rsidP="00D80B6D">
          <w:pPr>
            <w:pStyle w:val="Zkladntext"/>
            <w:rPr>
              <w:sz w:val="20"/>
              <w:highlight w:val="yellow"/>
            </w:rPr>
          </w:pPr>
        </w:p>
        <w:p w14:paraId="17667B44" w14:textId="77777777" w:rsidR="00D80B6D" w:rsidRPr="00FC2522" w:rsidRDefault="00D80B6D" w:rsidP="00D80B6D">
          <w:pPr>
            <w:pStyle w:val="Zkladntext"/>
            <w:jc w:val="both"/>
            <w:rPr>
              <w:rFonts w:ascii="Arial" w:hAnsi="Arial" w:cs="Arial"/>
              <w:color w:val="FFFFFF" w:themeColor="background1"/>
              <w:sz w:val="20"/>
              <w:highlight w:val="yellow"/>
            </w:rPr>
          </w:pPr>
        </w:p>
        <w:p w14:paraId="5193A529" w14:textId="77777777" w:rsidR="00D80B6D" w:rsidRPr="00FC2522" w:rsidRDefault="00D80B6D" w:rsidP="00D80B6D">
          <w:pPr>
            <w:pStyle w:val="Zkladntext"/>
            <w:jc w:val="both"/>
            <w:rPr>
              <w:rFonts w:ascii="Arial" w:hAnsi="Arial" w:cs="Arial"/>
              <w:b/>
              <w:sz w:val="20"/>
              <w:highlight w:val="yellow"/>
            </w:rPr>
          </w:pPr>
        </w:p>
        <w:p w14:paraId="2833FE59" w14:textId="77777777" w:rsidR="00D80B6D" w:rsidRPr="00FC2522" w:rsidRDefault="00D80B6D" w:rsidP="00D80B6D">
          <w:pPr>
            <w:pStyle w:val="Zkladntext"/>
            <w:jc w:val="both"/>
            <w:rPr>
              <w:rFonts w:ascii="Arial" w:hAnsi="Arial" w:cs="Arial"/>
              <w:b/>
              <w:sz w:val="20"/>
              <w:highlight w:val="yellow"/>
            </w:rPr>
          </w:pPr>
        </w:p>
        <w:p w14:paraId="6DB157BF" w14:textId="77777777" w:rsidR="00D80B6D" w:rsidRPr="00FC2522" w:rsidRDefault="00D80B6D" w:rsidP="00D80B6D">
          <w:pPr>
            <w:pStyle w:val="Zkladntext"/>
            <w:jc w:val="both"/>
            <w:rPr>
              <w:rFonts w:ascii="Arial" w:hAnsi="Arial" w:cs="Arial"/>
              <w:b/>
              <w:sz w:val="20"/>
              <w:highlight w:val="yellow"/>
            </w:rPr>
          </w:pPr>
        </w:p>
        <w:p w14:paraId="47803C2A" w14:textId="77777777" w:rsidR="00D80B6D" w:rsidRPr="00FC2522" w:rsidRDefault="00D80B6D" w:rsidP="00D80B6D">
          <w:pPr>
            <w:pStyle w:val="Zkladntext"/>
            <w:jc w:val="both"/>
            <w:rPr>
              <w:rFonts w:ascii="Arial" w:hAnsi="Arial" w:cs="Arial"/>
              <w:b/>
              <w:sz w:val="20"/>
              <w:highlight w:val="yellow"/>
            </w:rPr>
          </w:pPr>
        </w:p>
        <w:p w14:paraId="1D90E1D0" w14:textId="77777777" w:rsidR="00D80B6D" w:rsidRPr="00FC2522" w:rsidRDefault="00D80B6D" w:rsidP="00D80B6D">
          <w:pPr>
            <w:pStyle w:val="Zkladntext"/>
            <w:jc w:val="both"/>
            <w:rPr>
              <w:rFonts w:ascii="Arial" w:hAnsi="Arial" w:cs="Arial"/>
              <w:b/>
              <w:sz w:val="20"/>
              <w:highlight w:val="yellow"/>
            </w:rPr>
          </w:pPr>
        </w:p>
        <w:p w14:paraId="5A33B823" w14:textId="77777777" w:rsidR="00D80B6D" w:rsidRPr="00FC2522" w:rsidRDefault="00D80B6D" w:rsidP="00D80B6D">
          <w:pPr>
            <w:pStyle w:val="Zkladntext"/>
            <w:jc w:val="both"/>
            <w:rPr>
              <w:rFonts w:ascii="Arial" w:hAnsi="Arial" w:cs="Arial"/>
              <w:b/>
              <w:sz w:val="20"/>
              <w:highlight w:val="yellow"/>
            </w:rPr>
          </w:pPr>
        </w:p>
        <w:p w14:paraId="0D2BECD0" w14:textId="77777777" w:rsidR="00D80B6D" w:rsidRPr="00FC2522" w:rsidRDefault="00D80B6D" w:rsidP="00D80B6D">
          <w:pPr>
            <w:pStyle w:val="Zkladntext"/>
            <w:jc w:val="both"/>
            <w:rPr>
              <w:rFonts w:ascii="Arial" w:hAnsi="Arial" w:cs="Arial"/>
              <w:b/>
              <w:sz w:val="20"/>
              <w:highlight w:val="yellow"/>
            </w:rPr>
          </w:pPr>
        </w:p>
        <w:p w14:paraId="69288FB9" w14:textId="77777777" w:rsidR="00D80B6D" w:rsidRPr="00FC2522" w:rsidRDefault="00D80B6D" w:rsidP="00D80B6D">
          <w:pPr>
            <w:pStyle w:val="Zkladntext"/>
            <w:jc w:val="both"/>
            <w:rPr>
              <w:rFonts w:ascii="Arial" w:hAnsi="Arial" w:cs="Arial"/>
              <w:b/>
              <w:sz w:val="20"/>
              <w:highlight w:val="yellow"/>
            </w:rPr>
          </w:pPr>
        </w:p>
        <w:p w14:paraId="541E93D5" w14:textId="77777777" w:rsidR="00D80B6D" w:rsidRPr="00FC2522" w:rsidRDefault="00D80B6D" w:rsidP="00D80B6D">
          <w:pPr>
            <w:pStyle w:val="Zkladntext"/>
            <w:jc w:val="both"/>
            <w:rPr>
              <w:rFonts w:ascii="Arial" w:hAnsi="Arial" w:cs="Arial"/>
              <w:b/>
              <w:sz w:val="20"/>
              <w:highlight w:val="yellow"/>
            </w:rPr>
          </w:pPr>
        </w:p>
        <w:p w14:paraId="341A343C" w14:textId="77777777" w:rsidR="00D80B6D" w:rsidRPr="00FC2522" w:rsidRDefault="00D80B6D" w:rsidP="00D80B6D">
          <w:pPr>
            <w:pStyle w:val="Zkladntext"/>
            <w:jc w:val="both"/>
            <w:rPr>
              <w:rFonts w:ascii="Arial" w:hAnsi="Arial" w:cs="Arial"/>
              <w:b/>
              <w:sz w:val="20"/>
              <w:highlight w:val="yellow"/>
            </w:rPr>
          </w:pPr>
        </w:p>
        <w:p w14:paraId="6C52C42D" w14:textId="77777777" w:rsidR="00D80B6D" w:rsidRPr="00FC2522" w:rsidRDefault="00D80B6D" w:rsidP="00D80B6D">
          <w:pPr>
            <w:pStyle w:val="Zkladntext"/>
            <w:jc w:val="both"/>
            <w:rPr>
              <w:rFonts w:ascii="Arial" w:hAnsi="Arial" w:cs="Arial"/>
              <w:b/>
              <w:sz w:val="20"/>
              <w:highlight w:val="yellow"/>
            </w:rPr>
          </w:pPr>
        </w:p>
        <w:p w14:paraId="3E3CDF25" w14:textId="77777777" w:rsidR="00D80B6D" w:rsidRPr="00FC2522" w:rsidRDefault="00D80B6D" w:rsidP="00D80B6D">
          <w:pPr>
            <w:pStyle w:val="Zkladntext"/>
            <w:jc w:val="both"/>
            <w:rPr>
              <w:rFonts w:ascii="Arial" w:hAnsi="Arial" w:cs="Arial"/>
              <w:b/>
              <w:sz w:val="20"/>
              <w:highlight w:val="yellow"/>
            </w:rPr>
          </w:pPr>
        </w:p>
        <w:p w14:paraId="40495E64" w14:textId="77777777" w:rsidR="00D80B6D" w:rsidRPr="00FC2522" w:rsidRDefault="00D80B6D" w:rsidP="00D80B6D">
          <w:pPr>
            <w:pStyle w:val="Zkladntext"/>
            <w:jc w:val="both"/>
            <w:rPr>
              <w:rFonts w:ascii="Arial" w:hAnsi="Arial" w:cs="Arial"/>
              <w:b/>
              <w:sz w:val="20"/>
              <w:highlight w:val="yellow"/>
            </w:rPr>
          </w:pPr>
        </w:p>
        <w:p w14:paraId="59B6F4E6" w14:textId="77777777" w:rsidR="00D80B6D" w:rsidRPr="00FC2522" w:rsidRDefault="00D80B6D" w:rsidP="00D80B6D">
          <w:pPr>
            <w:pStyle w:val="Zkladntext"/>
            <w:jc w:val="both"/>
            <w:rPr>
              <w:rFonts w:ascii="Arial" w:hAnsi="Arial" w:cs="Arial"/>
              <w:b/>
              <w:sz w:val="20"/>
              <w:highlight w:val="yellow"/>
            </w:rPr>
          </w:pPr>
        </w:p>
        <w:p w14:paraId="5ADDFBD6" w14:textId="77777777" w:rsidR="00D80B6D" w:rsidRPr="00FC2522" w:rsidRDefault="00D80B6D" w:rsidP="00D80B6D">
          <w:pPr>
            <w:pStyle w:val="Zkladntext"/>
            <w:jc w:val="both"/>
            <w:rPr>
              <w:rFonts w:ascii="Arial" w:hAnsi="Arial" w:cs="Arial"/>
              <w:b/>
              <w:sz w:val="20"/>
              <w:highlight w:val="yellow"/>
            </w:rPr>
          </w:pPr>
        </w:p>
        <w:p w14:paraId="1CB27DF8" w14:textId="77777777" w:rsidR="007B358E" w:rsidRPr="00FC2522" w:rsidRDefault="007B358E" w:rsidP="00D80B6D">
          <w:pPr>
            <w:pStyle w:val="Zkladntext"/>
            <w:jc w:val="both"/>
            <w:rPr>
              <w:rFonts w:ascii="Arial" w:hAnsi="Arial" w:cs="Arial"/>
              <w:b/>
              <w:sz w:val="20"/>
              <w:highlight w:val="yellow"/>
            </w:rPr>
          </w:pPr>
        </w:p>
        <w:p w14:paraId="3A61C564" w14:textId="77777777" w:rsidR="0068617E" w:rsidRPr="00FC2522" w:rsidRDefault="0068617E" w:rsidP="00D80B6D">
          <w:pPr>
            <w:pStyle w:val="Zkladntext"/>
            <w:jc w:val="both"/>
            <w:rPr>
              <w:rFonts w:ascii="Arial" w:hAnsi="Arial" w:cs="Arial"/>
              <w:b/>
              <w:sz w:val="20"/>
              <w:highlight w:val="yellow"/>
            </w:rPr>
          </w:pPr>
        </w:p>
        <w:p w14:paraId="1414E639" w14:textId="77777777" w:rsidR="0068617E" w:rsidRPr="00FC2522" w:rsidRDefault="0068617E" w:rsidP="00D80B6D">
          <w:pPr>
            <w:pStyle w:val="Zkladntext"/>
            <w:jc w:val="both"/>
            <w:rPr>
              <w:rFonts w:ascii="Arial" w:hAnsi="Arial" w:cs="Arial"/>
              <w:b/>
              <w:sz w:val="20"/>
              <w:highlight w:val="yellow"/>
            </w:rPr>
          </w:pPr>
        </w:p>
        <w:p w14:paraId="11132A3F" w14:textId="53DE594E" w:rsidR="00D80B6D" w:rsidRPr="00FC2522" w:rsidRDefault="00D80B6D" w:rsidP="00D80B6D">
          <w:pPr>
            <w:pStyle w:val="Zkladntext"/>
            <w:jc w:val="both"/>
            <w:rPr>
              <w:rFonts w:ascii="Arial" w:hAnsi="Arial" w:cs="Arial"/>
              <w:b/>
              <w:sz w:val="20"/>
            </w:rPr>
          </w:pPr>
          <w:r w:rsidRPr="00FC2522">
            <w:rPr>
              <w:rFonts w:ascii="Arial" w:hAnsi="Arial" w:cs="Arial"/>
              <w:b/>
              <w:sz w:val="20"/>
            </w:rPr>
            <w:t>O společnosti Broker Consulting</w:t>
          </w:r>
        </w:p>
        <w:p w14:paraId="27485CC6" w14:textId="77777777" w:rsidR="00D80B6D" w:rsidRPr="00FC2522" w:rsidRDefault="00D80B6D" w:rsidP="00D80B6D">
          <w:pPr>
            <w:jc w:val="both"/>
            <w:rPr>
              <w:rFonts w:ascii="Arial" w:hAnsi="Arial" w:cs="Arial"/>
              <w:sz w:val="20"/>
            </w:rPr>
          </w:pPr>
        </w:p>
        <w:p w14:paraId="08070DCC" w14:textId="258F6DB2" w:rsidR="00792EE9" w:rsidRPr="00FC2522" w:rsidRDefault="00792EE9" w:rsidP="00792EE9">
          <w:pPr>
            <w:jc w:val="both"/>
            <w:rPr>
              <w:rStyle w:val="dn"/>
              <w:rFonts w:ascii="Arial" w:hAnsi="Arial" w:cs="Arial"/>
              <w:sz w:val="18"/>
              <w:szCs w:val="18"/>
            </w:rPr>
          </w:pPr>
          <w:r w:rsidRPr="00FC2522">
            <w:rPr>
              <w:rFonts w:ascii="Arial" w:hAnsi="Arial" w:cs="Arial"/>
              <w:sz w:val="18"/>
            </w:rPr>
            <w:t xml:space="preserve">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w:t>
          </w:r>
          <w:r w:rsidR="002141AF">
            <w:rPr>
              <w:rFonts w:ascii="Arial" w:hAnsi="Arial" w:cs="Arial"/>
              <w:sz w:val="18"/>
            </w:rPr>
            <w:t>4</w:t>
          </w:r>
          <w:r w:rsidR="00CA7673">
            <w:rPr>
              <w:rFonts w:ascii="Arial" w:hAnsi="Arial" w:cs="Arial"/>
              <w:sz w:val="18"/>
            </w:rPr>
            <w:t>2</w:t>
          </w:r>
          <w:r w:rsidRPr="00FC2522">
            <w:rPr>
              <w:rFonts w:ascii="Arial" w:hAnsi="Arial" w:cs="Arial"/>
              <w:sz w:val="18"/>
            </w:rPr>
            <w:t xml:space="preserve"> franšízových pobočkách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Consulting ve spolupráci s mBank a MONETA Money Bank. </w:t>
          </w:r>
          <w:r w:rsidRPr="00FC2522">
            <w:rPr>
              <w:rStyle w:val="dn"/>
              <w:rFonts w:ascii="Arial" w:hAnsi="Arial" w:cs="Arial"/>
              <w:sz w:val="18"/>
              <w:szCs w:val="18"/>
            </w:rPr>
            <w:t xml:space="preserve">Více na </w:t>
          </w:r>
          <w:hyperlink r:id="rId9" w:history="1">
            <w:r w:rsidRPr="00FC2522">
              <w:rPr>
                <w:rStyle w:val="Hypertextovodkaz"/>
                <w:rFonts w:ascii="Arial" w:hAnsi="Arial" w:cs="Arial"/>
                <w:color w:val="FF0000"/>
                <w:sz w:val="18"/>
                <w:szCs w:val="18"/>
              </w:rPr>
              <w:t>www.bcas.cz</w:t>
            </w:r>
          </w:hyperlink>
          <w:r w:rsidRPr="00FC2522">
            <w:rPr>
              <w:rStyle w:val="Hypertextovodkaz"/>
              <w:rFonts w:ascii="Arial" w:hAnsi="Arial" w:cs="Arial"/>
              <w:sz w:val="18"/>
              <w:szCs w:val="18"/>
            </w:rPr>
            <w:t xml:space="preserve">, </w:t>
          </w:r>
          <w:hyperlink r:id="rId10" w:history="1">
            <w:r w:rsidRPr="00FC2522">
              <w:rPr>
                <w:rStyle w:val="Hypertextovodkaz"/>
                <w:rFonts w:ascii="Arial" w:hAnsi="Arial" w:cs="Arial"/>
                <w:color w:val="FF0000"/>
                <w:sz w:val="18"/>
                <w:szCs w:val="18"/>
              </w:rPr>
              <w:t>www.okpointy.cz</w:t>
            </w:r>
          </w:hyperlink>
          <w:r w:rsidR="004F6195">
            <w:rPr>
              <w:rStyle w:val="Hypertextovodkaz"/>
              <w:rFonts w:ascii="Arial" w:hAnsi="Arial" w:cs="Arial"/>
              <w:color w:val="FF0000"/>
              <w:sz w:val="18"/>
              <w:szCs w:val="18"/>
            </w:rPr>
            <w:t>, www.okpoint.tv</w:t>
          </w:r>
          <w:r w:rsidRPr="00FC2522">
            <w:rPr>
              <w:rStyle w:val="dn"/>
              <w:rFonts w:ascii="Arial" w:hAnsi="Arial" w:cs="Arial"/>
              <w:sz w:val="18"/>
              <w:szCs w:val="18"/>
            </w:rPr>
            <w:t xml:space="preserve"> a na </w:t>
          </w:r>
          <w:hyperlink r:id="rId11" w:history="1">
            <w:r w:rsidRPr="00FC2522">
              <w:rPr>
                <w:rStyle w:val="Hypertextovodkaz"/>
                <w:rFonts w:ascii="Arial" w:hAnsi="Arial" w:cs="Arial"/>
                <w:color w:val="FF0000"/>
                <w:sz w:val="18"/>
                <w:szCs w:val="18"/>
              </w:rPr>
              <w:t>www.realityspolu.cz</w:t>
            </w:r>
          </w:hyperlink>
          <w:r w:rsidRPr="00FC2522">
            <w:rPr>
              <w:rStyle w:val="dn"/>
              <w:rFonts w:ascii="Arial" w:hAnsi="Arial" w:cs="Arial"/>
              <w:sz w:val="18"/>
              <w:szCs w:val="18"/>
            </w:rPr>
            <w:t xml:space="preserve">. Navštivte také náš </w:t>
          </w:r>
          <w:hyperlink r:id="rId12" w:history="1">
            <w:r w:rsidRPr="00FC2522">
              <w:rPr>
                <w:rStyle w:val="Hypertextovodkaz"/>
                <w:rFonts w:ascii="Arial" w:hAnsi="Arial" w:cs="Arial"/>
                <w:color w:val="FF0000"/>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3" w:history="1">
            <w:r w:rsidRPr="00FC2522">
              <w:rPr>
                <w:rStyle w:val="Hypertextovodkaz"/>
                <w:rFonts w:ascii="Arial" w:hAnsi="Arial" w:cs="Arial"/>
                <w:color w:val="FF0000"/>
                <w:sz w:val="18"/>
                <w:szCs w:val="18"/>
              </w:rPr>
              <w:t>LinkedIN</w:t>
            </w:r>
          </w:hyperlink>
          <w:r w:rsidRPr="00FC2522">
            <w:rPr>
              <w:rStyle w:val="dn"/>
              <w:rFonts w:ascii="Arial" w:hAnsi="Arial" w:cs="Arial"/>
              <w:sz w:val="18"/>
              <w:szCs w:val="18"/>
            </w:rPr>
            <w:t xml:space="preserve"> Broker Consulting a </w:t>
          </w:r>
          <w:hyperlink r:id="rId14" w:history="1">
            <w:r w:rsidRPr="00FC2522">
              <w:rPr>
                <w:rStyle w:val="Hypertextovodkaz"/>
                <w:rFonts w:ascii="Arial" w:hAnsi="Arial" w:cs="Arial"/>
                <w:color w:val="FF0000"/>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5" w:history="1">
            <w:r w:rsidRPr="00FC2522">
              <w:rPr>
                <w:rStyle w:val="Hypertextovodkaz"/>
                <w:rFonts w:ascii="Arial" w:hAnsi="Arial" w:cs="Arial"/>
                <w:color w:val="FF0000"/>
                <w:sz w:val="18"/>
                <w:szCs w:val="18"/>
              </w:rPr>
              <w:t>LinkedI</w:t>
            </w:r>
          </w:hyperlink>
          <w:r w:rsidRPr="00FC2522">
            <w:rPr>
              <w:rStyle w:val="Hypertextovodkaz"/>
              <w:rFonts w:ascii="Arial" w:hAnsi="Arial" w:cs="Arial"/>
              <w:color w:val="FF0000"/>
              <w:sz w:val="18"/>
              <w:szCs w:val="18"/>
            </w:rPr>
            <w:t>N</w:t>
          </w:r>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OK POINTů. </w:t>
          </w:r>
        </w:p>
        <w:p w14:paraId="3F0EC976" w14:textId="3496D289" w:rsidR="00D80B6D" w:rsidRPr="00FC2522" w:rsidRDefault="00D80B6D" w:rsidP="0068617E">
          <w:pPr>
            <w:pStyle w:val="Zkladntext"/>
            <w:jc w:val="both"/>
            <w:rPr>
              <w:rFonts w:ascii="Arial" w:hAnsi="Arial" w:cs="Arial"/>
              <w:sz w:val="20"/>
              <w:highlight w:val="yellow"/>
            </w:rPr>
            <w:sectPr w:rsidR="00D80B6D" w:rsidRPr="00FC2522" w:rsidSect="00D80B6D">
              <w:headerReference w:type="default" r:id="rId16"/>
              <w:footerReference w:type="default" r:id="rId17"/>
              <w:pgSz w:w="11910" w:h="16840"/>
              <w:pgMar w:top="960" w:right="740" w:bottom="0" w:left="720" w:header="708" w:footer="708" w:gutter="0"/>
              <w:cols w:space="708"/>
            </w:sectPr>
          </w:pPr>
        </w:p>
        <w:p w14:paraId="35539C65" w14:textId="7A3AAC27" w:rsidR="00D31127" w:rsidRPr="00FC2522" w:rsidRDefault="00BA35C9" w:rsidP="0025264B">
          <w:pPr>
            <w:rPr>
              <w:rFonts w:ascii="Arial" w:hAnsi="Arial" w:cs="Arial"/>
              <w:b/>
              <w:sz w:val="20"/>
              <w:szCs w:val="20"/>
              <w:highlight w:val="yellow"/>
            </w:rPr>
            <w:sectPr w:rsidR="00D31127" w:rsidRPr="00FC2522" w:rsidSect="00D80B6D">
              <w:headerReference w:type="even" r:id="rId18"/>
              <w:headerReference w:type="default" r:id="rId19"/>
              <w:footerReference w:type="even" r:id="rId20"/>
              <w:footerReference w:type="default" r:id="rId21"/>
              <w:headerReference w:type="first" r:id="rId22"/>
              <w:footerReference w:type="first" r:id="rId23"/>
              <w:pgSz w:w="11910" w:h="16840"/>
              <w:pgMar w:top="1418" w:right="740" w:bottom="420" w:left="720" w:header="340" w:footer="223" w:gutter="0"/>
              <w:pgNumType w:start="0"/>
              <w:cols w:space="708"/>
              <w:titlePg/>
              <w:docGrid w:linePitch="299"/>
            </w:sectPr>
          </w:pPr>
        </w:p>
      </w:sdtContent>
    </w:sdt>
    <w:p w14:paraId="541E060F" w14:textId="6480ACC3" w:rsidR="00724267" w:rsidRPr="00B91131" w:rsidRDefault="00724267" w:rsidP="00B91131">
      <w:pPr>
        <w:rPr>
          <w:rFonts w:ascii="Arial" w:hAnsi="Arial" w:cs="Arial"/>
          <w:b/>
          <w:sz w:val="28"/>
          <w:szCs w:val="28"/>
        </w:rPr>
      </w:pPr>
    </w:p>
    <w:p w14:paraId="36FF85DC" w14:textId="22A6814B" w:rsidR="00460FA7" w:rsidRPr="00AA0920" w:rsidRDefault="00460FA7" w:rsidP="00B91131">
      <w:pPr>
        <w:rPr>
          <w:rFonts w:ascii="Segoe UI" w:eastAsia="Times New Roman" w:hAnsi="Segoe UI" w:cs="Segoe UI"/>
          <w:b/>
        </w:rPr>
      </w:pPr>
    </w:p>
    <w:p w14:paraId="3C69C259" w14:textId="27E0A0E3" w:rsidR="00DA50BA" w:rsidRPr="00AA0920" w:rsidRDefault="00AA0920" w:rsidP="00263C8C">
      <w:pPr>
        <w:jc w:val="center"/>
        <w:rPr>
          <w:rFonts w:ascii="Arial" w:eastAsia="Times New Roman" w:hAnsi="Arial" w:cs="Arial"/>
          <w:b/>
          <w:sz w:val="28"/>
          <w:szCs w:val="28"/>
        </w:rPr>
      </w:pPr>
      <w:bookmarkStart w:id="0" w:name="_GoBack"/>
      <w:bookmarkEnd w:id="0"/>
      <w:r w:rsidRPr="00AA0920">
        <w:rPr>
          <w:rFonts w:ascii="Arial" w:eastAsia="Times New Roman" w:hAnsi="Arial" w:cs="Arial"/>
          <w:b/>
          <w:sz w:val="28"/>
          <w:szCs w:val="28"/>
        </w:rPr>
        <w:t xml:space="preserve">Průměrná úroková sazba úvěrů na spotřebu se dlouhodobě drží na stabilní úrovni. V listopadu mírně vzrostla na 6,42 % </w:t>
      </w:r>
    </w:p>
    <w:p w14:paraId="18EBA0CC" w14:textId="77777777" w:rsidR="00DA50BA" w:rsidRPr="007052FC" w:rsidRDefault="00DA50BA" w:rsidP="00B91131">
      <w:pPr>
        <w:rPr>
          <w:rFonts w:ascii="Arial" w:eastAsia="Times New Roman" w:hAnsi="Arial" w:cs="Arial"/>
          <w:b/>
          <w:color w:val="FF0000"/>
          <w:sz w:val="28"/>
          <w:szCs w:val="28"/>
        </w:rPr>
      </w:pPr>
    </w:p>
    <w:p w14:paraId="617BA37D" w14:textId="77777777" w:rsidR="003C7F98" w:rsidRPr="007052FC" w:rsidRDefault="003C7F98" w:rsidP="009A52BA">
      <w:pPr>
        <w:jc w:val="both"/>
        <w:rPr>
          <w:rFonts w:ascii="Arial" w:hAnsi="Arial" w:cs="Arial"/>
          <w:bCs/>
          <w:i/>
          <w:color w:val="FF0000"/>
          <w:sz w:val="20"/>
          <w:szCs w:val="20"/>
        </w:rPr>
      </w:pPr>
    </w:p>
    <w:p w14:paraId="6480FDD7" w14:textId="30F8190E" w:rsidR="000D7A4D" w:rsidRPr="003A2887" w:rsidRDefault="003C7F98" w:rsidP="00AA0920">
      <w:pPr>
        <w:jc w:val="both"/>
        <w:rPr>
          <w:rFonts w:ascii="Arial" w:eastAsia="Times New Roman" w:hAnsi="Arial" w:cs="Arial"/>
          <w:b/>
          <w:color w:val="FF0000"/>
          <w:sz w:val="20"/>
          <w:szCs w:val="20"/>
        </w:rPr>
      </w:pPr>
      <w:r w:rsidRPr="00F01BFC">
        <w:rPr>
          <w:rFonts w:ascii="Arial" w:hAnsi="Arial" w:cs="Arial"/>
          <w:bCs/>
          <w:i/>
          <w:sz w:val="20"/>
          <w:szCs w:val="20"/>
        </w:rPr>
        <w:t>Praha, 2</w:t>
      </w:r>
      <w:r w:rsidR="00743627">
        <w:rPr>
          <w:rFonts w:ascii="Arial" w:hAnsi="Arial" w:cs="Arial"/>
          <w:bCs/>
          <w:i/>
          <w:sz w:val="20"/>
          <w:szCs w:val="20"/>
        </w:rPr>
        <w:t>9</w:t>
      </w:r>
      <w:r w:rsidRPr="00F01BFC">
        <w:rPr>
          <w:rFonts w:ascii="Arial" w:hAnsi="Arial" w:cs="Arial"/>
          <w:bCs/>
          <w:i/>
          <w:sz w:val="20"/>
          <w:szCs w:val="20"/>
        </w:rPr>
        <w:t xml:space="preserve">. </w:t>
      </w:r>
      <w:r w:rsidR="007052FC" w:rsidRPr="00F01BFC">
        <w:rPr>
          <w:rFonts w:ascii="Arial" w:hAnsi="Arial" w:cs="Arial"/>
          <w:bCs/>
          <w:i/>
          <w:sz w:val="20"/>
          <w:szCs w:val="20"/>
        </w:rPr>
        <w:t>prosince</w:t>
      </w:r>
      <w:r w:rsidRPr="00F01BFC">
        <w:rPr>
          <w:rFonts w:ascii="Arial" w:hAnsi="Arial" w:cs="Arial"/>
          <w:bCs/>
          <w:i/>
          <w:sz w:val="20"/>
          <w:szCs w:val="20"/>
        </w:rPr>
        <w:t xml:space="preserve"> 2021</w:t>
      </w:r>
      <w:r w:rsidRPr="003A2887">
        <w:rPr>
          <w:rFonts w:ascii="Arial" w:hAnsi="Arial" w:cs="Arial"/>
          <w:bCs/>
          <w:sz w:val="20"/>
          <w:szCs w:val="20"/>
        </w:rPr>
        <w:t xml:space="preserve"> – </w:t>
      </w:r>
      <w:r w:rsidR="007052FC" w:rsidRPr="003A2887">
        <w:rPr>
          <w:rFonts w:ascii="Arial" w:eastAsia="Times New Roman" w:hAnsi="Arial" w:cs="Arial"/>
          <w:b/>
          <w:sz w:val="20"/>
          <w:szCs w:val="20"/>
        </w:rPr>
        <w:t>J</w:t>
      </w:r>
      <w:r w:rsidR="000D7A4D" w:rsidRPr="003A2887">
        <w:rPr>
          <w:rFonts w:ascii="Arial" w:eastAsia="Times New Roman" w:hAnsi="Arial" w:cs="Arial"/>
          <w:b/>
          <w:sz w:val="20"/>
          <w:szCs w:val="20"/>
        </w:rPr>
        <w:t>ak dokládají výsledky</w:t>
      </w:r>
      <w:r w:rsidR="007052FC" w:rsidRPr="003A2887">
        <w:rPr>
          <w:rFonts w:ascii="Arial" w:eastAsia="Times New Roman" w:hAnsi="Arial" w:cs="Arial"/>
          <w:b/>
          <w:sz w:val="20"/>
          <w:szCs w:val="20"/>
        </w:rPr>
        <w:t xml:space="preserve"> Broker Consulting Index</w:t>
      </w:r>
      <w:r w:rsidR="000D7A4D" w:rsidRPr="003A2887">
        <w:rPr>
          <w:rFonts w:ascii="Arial" w:eastAsia="Times New Roman" w:hAnsi="Arial" w:cs="Arial"/>
          <w:b/>
          <w:sz w:val="20"/>
          <w:szCs w:val="20"/>
        </w:rPr>
        <w:t>u</w:t>
      </w:r>
      <w:r w:rsidR="007052FC" w:rsidRPr="003A2887">
        <w:rPr>
          <w:rFonts w:ascii="Arial" w:eastAsia="Times New Roman" w:hAnsi="Arial" w:cs="Arial"/>
          <w:b/>
          <w:sz w:val="20"/>
          <w:szCs w:val="20"/>
        </w:rPr>
        <w:t xml:space="preserve"> spotřebitelských úvěrů, vývoj úrokových sazeb je </w:t>
      </w:r>
      <w:r w:rsidR="000D7A4D" w:rsidRPr="003A2887">
        <w:rPr>
          <w:rFonts w:ascii="Arial" w:eastAsia="Times New Roman" w:hAnsi="Arial" w:cs="Arial"/>
          <w:b/>
          <w:sz w:val="20"/>
          <w:szCs w:val="20"/>
        </w:rPr>
        <w:t>u</w:t>
      </w:r>
      <w:r w:rsidR="007052FC" w:rsidRPr="003A2887">
        <w:rPr>
          <w:rFonts w:ascii="Arial" w:eastAsia="Times New Roman" w:hAnsi="Arial" w:cs="Arial"/>
          <w:b/>
          <w:sz w:val="20"/>
          <w:szCs w:val="20"/>
        </w:rPr>
        <w:t xml:space="preserve"> úvěrů na cokoli </w:t>
      </w:r>
      <w:r w:rsidR="000D7A4D" w:rsidRPr="003A2887">
        <w:rPr>
          <w:rFonts w:ascii="Arial" w:eastAsia="Times New Roman" w:hAnsi="Arial" w:cs="Arial"/>
          <w:b/>
          <w:sz w:val="20"/>
          <w:szCs w:val="20"/>
        </w:rPr>
        <w:t xml:space="preserve">v porovnání s úvěry na bydlení </w:t>
      </w:r>
      <w:r w:rsidR="007052FC" w:rsidRPr="003A2887">
        <w:rPr>
          <w:rFonts w:ascii="Arial" w:eastAsia="Times New Roman" w:hAnsi="Arial" w:cs="Arial"/>
          <w:b/>
          <w:sz w:val="20"/>
          <w:szCs w:val="20"/>
        </w:rPr>
        <w:t xml:space="preserve">dlouhodobě stabilní. </w:t>
      </w:r>
      <w:r w:rsidR="000D7A4D" w:rsidRPr="003A2887">
        <w:rPr>
          <w:rFonts w:ascii="Arial" w:eastAsia="Times New Roman" w:hAnsi="Arial" w:cs="Arial"/>
          <w:b/>
          <w:sz w:val="20"/>
          <w:szCs w:val="20"/>
        </w:rPr>
        <w:t xml:space="preserve">Hodnota indexu, která v posledních čtyřech letech osciluje mezi 6 a 7 %, v listopadu </w:t>
      </w:r>
      <w:r w:rsidR="00AA0920" w:rsidRPr="003A2887">
        <w:rPr>
          <w:rFonts w:ascii="Arial" w:eastAsia="Times New Roman" w:hAnsi="Arial" w:cs="Arial"/>
          <w:b/>
          <w:sz w:val="20"/>
          <w:szCs w:val="20"/>
        </w:rPr>
        <w:t xml:space="preserve">mírně </w:t>
      </w:r>
      <w:r w:rsidR="000D7A4D" w:rsidRPr="003A2887">
        <w:rPr>
          <w:rFonts w:ascii="Arial" w:eastAsia="Times New Roman" w:hAnsi="Arial" w:cs="Arial"/>
          <w:b/>
          <w:sz w:val="20"/>
          <w:szCs w:val="20"/>
        </w:rPr>
        <w:t xml:space="preserve">vzrostla o 0,38 </w:t>
      </w:r>
      <w:r w:rsidR="000D7A4D" w:rsidRPr="003A2887">
        <w:rPr>
          <w:rFonts w:ascii="Arial" w:hAnsi="Arial" w:cs="Arial"/>
          <w:b/>
          <w:sz w:val="20"/>
          <w:szCs w:val="20"/>
        </w:rPr>
        <w:t xml:space="preserve">procentního bodu </w:t>
      </w:r>
      <w:r w:rsidR="000D7A4D" w:rsidRPr="003A2887">
        <w:rPr>
          <w:rFonts w:ascii="Arial" w:eastAsia="Times New Roman" w:hAnsi="Arial" w:cs="Arial"/>
          <w:b/>
          <w:sz w:val="20"/>
          <w:szCs w:val="20"/>
        </w:rPr>
        <w:t xml:space="preserve">na 6,42 %. </w:t>
      </w:r>
      <w:r w:rsidR="0076667F" w:rsidRPr="003A2887">
        <w:rPr>
          <w:rFonts w:ascii="Arial" w:eastAsia="Times New Roman" w:hAnsi="Arial" w:cs="Arial"/>
          <w:b/>
          <w:sz w:val="20"/>
          <w:szCs w:val="20"/>
        </w:rPr>
        <w:t>Jak upozorňují odborníci, u spotřebitelských úvěrů ovlivňuje výši splátky především splatnost úvěru nežli úroková sazba.</w:t>
      </w:r>
    </w:p>
    <w:p w14:paraId="1741CCBF" w14:textId="77777777" w:rsidR="000D7A4D" w:rsidRPr="003A2887" w:rsidRDefault="000D7A4D" w:rsidP="00AA0920">
      <w:pPr>
        <w:jc w:val="both"/>
        <w:rPr>
          <w:rFonts w:ascii="Arial" w:eastAsia="Times New Roman" w:hAnsi="Arial" w:cs="Arial"/>
          <w:sz w:val="20"/>
          <w:szCs w:val="20"/>
        </w:rPr>
      </w:pPr>
    </w:p>
    <w:p w14:paraId="0D685E7A" w14:textId="52801C3D" w:rsidR="007052FC" w:rsidRDefault="0076667F" w:rsidP="00AA0920">
      <w:pPr>
        <w:jc w:val="both"/>
        <w:rPr>
          <w:rFonts w:ascii="Arial" w:eastAsia="Times New Roman" w:hAnsi="Arial" w:cs="Arial"/>
          <w:sz w:val="20"/>
          <w:szCs w:val="20"/>
        </w:rPr>
      </w:pPr>
      <w:r w:rsidRPr="003A2887">
        <w:rPr>
          <w:rFonts w:ascii="Arial" w:eastAsia="Times New Roman" w:hAnsi="Arial" w:cs="Arial"/>
          <w:sz w:val="20"/>
          <w:szCs w:val="20"/>
        </w:rPr>
        <w:t>Na rozdíl od h</w:t>
      </w:r>
      <w:r w:rsidR="007052FC" w:rsidRPr="003A2887">
        <w:rPr>
          <w:rFonts w:ascii="Arial" w:eastAsia="Times New Roman" w:hAnsi="Arial" w:cs="Arial"/>
          <w:sz w:val="20"/>
          <w:szCs w:val="20"/>
        </w:rPr>
        <w:t>ypoteční</w:t>
      </w:r>
      <w:r w:rsidRPr="003A2887">
        <w:rPr>
          <w:rFonts w:ascii="Arial" w:eastAsia="Times New Roman" w:hAnsi="Arial" w:cs="Arial"/>
          <w:sz w:val="20"/>
          <w:szCs w:val="20"/>
        </w:rPr>
        <w:t>ch úvěrů</w:t>
      </w:r>
      <w:r w:rsidR="007052FC" w:rsidRPr="003A2887">
        <w:rPr>
          <w:rFonts w:ascii="Arial" w:eastAsia="Times New Roman" w:hAnsi="Arial" w:cs="Arial"/>
          <w:sz w:val="20"/>
          <w:szCs w:val="20"/>
        </w:rPr>
        <w:t xml:space="preserve"> </w:t>
      </w:r>
      <w:r w:rsidRPr="003A2887">
        <w:rPr>
          <w:rFonts w:ascii="Arial" w:eastAsia="Times New Roman" w:hAnsi="Arial" w:cs="Arial"/>
          <w:sz w:val="20"/>
          <w:szCs w:val="20"/>
        </w:rPr>
        <w:t xml:space="preserve">není u úvěrů na cokoli nejdůležitějším parametrem </w:t>
      </w:r>
      <w:r w:rsidR="007052FC" w:rsidRPr="003A2887">
        <w:rPr>
          <w:rFonts w:ascii="Arial" w:eastAsia="Times New Roman" w:hAnsi="Arial" w:cs="Arial"/>
          <w:sz w:val="20"/>
          <w:szCs w:val="20"/>
        </w:rPr>
        <w:t>sazba</w:t>
      </w:r>
      <w:r w:rsidR="00AA0920" w:rsidRPr="003A2887">
        <w:rPr>
          <w:rFonts w:ascii="Arial" w:eastAsia="Times New Roman" w:hAnsi="Arial" w:cs="Arial"/>
          <w:sz w:val="20"/>
          <w:szCs w:val="20"/>
        </w:rPr>
        <w:t>. Její</w:t>
      </w:r>
      <w:r w:rsidR="007052FC" w:rsidRPr="003A2887">
        <w:rPr>
          <w:rFonts w:ascii="Arial" w:eastAsia="Times New Roman" w:hAnsi="Arial" w:cs="Arial"/>
          <w:sz w:val="20"/>
          <w:szCs w:val="20"/>
        </w:rPr>
        <w:t xml:space="preserve"> změna nemá na výši splátky </w:t>
      </w:r>
      <w:r w:rsidR="00F01BFC">
        <w:rPr>
          <w:rFonts w:ascii="Arial" w:eastAsia="Times New Roman" w:hAnsi="Arial" w:cs="Arial"/>
          <w:sz w:val="20"/>
          <w:szCs w:val="20"/>
        </w:rPr>
        <w:t>tak dramatický vliv.</w:t>
      </w:r>
      <w:r w:rsidR="00F01BFC" w:rsidRPr="003A2887">
        <w:rPr>
          <w:rFonts w:ascii="Arial" w:eastAsia="Times New Roman" w:hAnsi="Arial" w:cs="Arial"/>
          <w:i/>
          <w:sz w:val="20"/>
          <w:szCs w:val="20"/>
        </w:rPr>
        <w:t xml:space="preserve"> </w:t>
      </w:r>
      <w:r w:rsidR="007052FC" w:rsidRPr="003A2887">
        <w:rPr>
          <w:rFonts w:ascii="Arial" w:eastAsia="Times New Roman" w:hAnsi="Arial" w:cs="Arial"/>
          <w:i/>
          <w:sz w:val="20"/>
          <w:szCs w:val="20"/>
        </w:rPr>
        <w:t>„Jestliže se úroková sazba u průměrného úvěru na spotřebu zvýší o 1 %, dopad na splátku se bude pohybovat pod 200 korunami měsíčně. O poznání větší vliv na splátku</w:t>
      </w:r>
      <w:r w:rsidR="00AA0920" w:rsidRPr="003A2887">
        <w:rPr>
          <w:rFonts w:ascii="Arial" w:eastAsia="Times New Roman" w:hAnsi="Arial" w:cs="Arial"/>
          <w:i/>
          <w:sz w:val="20"/>
          <w:szCs w:val="20"/>
        </w:rPr>
        <w:t xml:space="preserve"> úvěru má</w:t>
      </w:r>
      <w:r w:rsidR="007052FC" w:rsidRPr="003A2887">
        <w:rPr>
          <w:rFonts w:ascii="Arial" w:eastAsia="Times New Roman" w:hAnsi="Arial" w:cs="Arial"/>
          <w:i/>
          <w:sz w:val="20"/>
          <w:szCs w:val="20"/>
        </w:rPr>
        <w:t xml:space="preserve"> jeho výše, a</w:t>
      </w:r>
      <w:r w:rsidR="00AA0920" w:rsidRPr="003A2887">
        <w:rPr>
          <w:rFonts w:ascii="Arial" w:eastAsia="Times New Roman" w:hAnsi="Arial" w:cs="Arial"/>
          <w:i/>
          <w:sz w:val="20"/>
          <w:szCs w:val="20"/>
        </w:rPr>
        <w:t xml:space="preserve"> především </w:t>
      </w:r>
      <w:r w:rsidR="007052FC" w:rsidRPr="003A2887">
        <w:rPr>
          <w:rFonts w:ascii="Arial" w:eastAsia="Times New Roman" w:hAnsi="Arial" w:cs="Arial"/>
          <w:i/>
          <w:sz w:val="20"/>
          <w:szCs w:val="20"/>
        </w:rPr>
        <w:t>splatnost. Čím bude splatnost kratší, tím vyšší měsíční splátka čeká žadatele o úvěr. Jednoduše řečeno, je třeba nejprve zhodnotit výslednou splátku, a až potom úrokovou sazbu,“</w:t>
      </w:r>
      <w:r w:rsidR="007052FC" w:rsidRPr="003A2887">
        <w:rPr>
          <w:rFonts w:ascii="Arial" w:eastAsia="Times New Roman" w:hAnsi="Arial" w:cs="Arial"/>
          <w:sz w:val="20"/>
          <w:szCs w:val="20"/>
        </w:rPr>
        <w:t xml:space="preserve"> doporučuje </w:t>
      </w:r>
      <w:r w:rsidR="007052FC" w:rsidRPr="003A2887">
        <w:rPr>
          <w:rFonts w:ascii="Arial" w:eastAsia="Times New Roman" w:hAnsi="Arial" w:cs="Arial"/>
          <w:b/>
          <w:sz w:val="20"/>
          <w:szCs w:val="20"/>
        </w:rPr>
        <w:t>Martin Novák, hlavní analytik společnosti Broker Consulting</w:t>
      </w:r>
      <w:r w:rsidR="007052FC" w:rsidRPr="003A2887">
        <w:rPr>
          <w:rFonts w:ascii="Arial" w:eastAsia="Times New Roman" w:hAnsi="Arial" w:cs="Arial"/>
          <w:sz w:val="20"/>
          <w:szCs w:val="20"/>
        </w:rPr>
        <w:t>. </w:t>
      </w:r>
    </w:p>
    <w:p w14:paraId="77FD1F65" w14:textId="77777777" w:rsidR="007052FC" w:rsidRPr="003A2887" w:rsidRDefault="007052FC" w:rsidP="00AA0920">
      <w:pPr>
        <w:jc w:val="both"/>
        <w:rPr>
          <w:rFonts w:ascii="Arial" w:eastAsia="Times New Roman" w:hAnsi="Arial" w:cs="Arial"/>
          <w:sz w:val="20"/>
          <w:szCs w:val="20"/>
        </w:rPr>
      </w:pPr>
    </w:p>
    <w:p w14:paraId="44AA64EB" w14:textId="13110354" w:rsidR="007052FC" w:rsidRPr="003A2887" w:rsidRDefault="007052FC" w:rsidP="00AA0920">
      <w:pPr>
        <w:jc w:val="both"/>
        <w:rPr>
          <w:rFonts w:ascii="Arial" w:eastAsia="Times New Roman" w:hAnsi="Arial" w:cs="Arial"/>
          <w:sz w:val="20"/>
          <w:szCs w:val="20"/>
        </w:rPr>
      </w:pPr>
      <w:r w:rsidRPr="003A2887">
        <w:rPr>
          <w:rFonts w:ascii="Arial" w:eastAsia="Times New Roman" w:hAnsi="Arial" w:cs="Arial"/>
          <w:sz w:val="20"/>
          <w:szCs w:val="20"/>
        </w:rPr>
        <w:t xml:space="preserve">U žádosti o spotřebitelský úvěr hraje </w:t>
      </w:r>
      <w:r w:rsidR="0076667F" w:rsidRPr="003A2887">
        <w:rPr>
          <w:rFonts w:ascii="Arial" w:eastAsia="Times New Roman" w:hAnsi="Arial" w:cs="Arial"/>
          <w:sz w:val="20"/>
          <w:szCs w:val="20"/>
        </w:rPr>
        <w:t xml:space="preserve">zcela </w:t>
      </w:r>
      <w:r w:rsidRPr="003A2887">
        <w:rPr>
          <w:rFonts w:ascii="Arial" w:eastAsia="Times New Roman" w:hAnsi="Arial" w:cs="Arial"/>
          <w:sz w:val="20"/>
          <w:szCs w:val="20"/>
        </w:rPr>
        <w:t xml:space="preserve">logicky zásadní roli jeho posouzení bankou. </w:t>
      </w:r>
      <w:r w:rsidR="00F4229F" w:rsidRPr="003A2887">
        <w:rPr>
          <w:rFonts w:ascii="Arial" w:eastAsia="Times New Roman" w:hAnsi="Arial" w:cs="Arial"/>
          <w:sz w:val="20"/>
          <w:szCs w:val="20"/>
        </w:rPr>
        <w:t>Poskytovatelé úvěrů</w:t>
      </w:r>
      <w:r w:rsidRPr="003A2887">
        <w:rPr>
          <w:rFonts w:ascii="Arial" w:eastAsia="Times New Roman" w:hAnsi="Arial" w:cs="Arial"/>
          <w:sz w:val="20"/>
          <w:szCs w:val="20"/>
        </w:rPr>
        <w:t xml:space="preserve"> obecně využívají dva přístupy k poskytování spotřebitelských úvěrů a určení úrokové sazby. Prvním z nich je sazebníkový, druhým je tzv. risk-based-price model. V případě </w:t>
      </w:r>
      <w:r w:rsidR="00F4229F" w:rsidRPr="003A2887">
        <w:rPr>
          <w:rFonts w:ascii="Arial" w:eastAsia="Times New Roman" w:hAnsi="Arial" w:cs="Arial"/>
          <w:sz w:val="20"/>
          <w:szCs w:val="20"/>
        </w:rPr>
        <w:t>prvního</w:t>
      </w:r>
      <w:r w:rsidRPr="003A2887">
        <w:rPr>
          <w:rFonts w:ascii="Arial" w:eastAsia="Times New Roman" w:hAnsi="Arial" w:cs="Arial"/>
          <w:sz w:val="20"/>
          <w:szCs w:val="20"/>
        </w:rPr>
        <w:t xml:space="preserve"> modelu jsou jasně </w:t>
      </w:r>
      <w:r w:rsidR="00AA0920" w:rsidRPr="003A2887">
        <w:rPr>
          <w:rFonts w:ascii="Arial" w:eastAsia="Times New Roman" w:hAnsi="Arial" w:cs="Arial"/>
          <w:sz w:val="20"/>
          <w:szCs w:val="20"/>
        </w:rPr>
        <w:t>stanovena</w:t>
      </w:r>
      <w:r w:rsidRPr="003A2887">
        <w:rPr>
          <w:rFonts w:ascii="Arial" w:eastAsia="Times New Roman" w:hAnsi="Arial" w:cs="Arial"/>
          <w:sz w:val="20"/>
          <w:szCs w:val="20"/>
        </w:rPr>
        <w:t xml:space="preserve"> </w:t>
      </w:r>
      <w:r w:rsidR="00AA0920" w:rsidRPr="003A2887">
        <w:rPr>
          <w:rFonts w:ascii="Arial" w:eastAsia="Times New Roman" w:hAnsi="Arial" w:cs="Arial"/>
          <w:sz w:val="20"/>
          <w:szCs w:val="20"/>
        </w:rPr>
        <w:t xml:space="preserve">jak </w:t>
      </w:r>
      <w:r w:rsidRPr="003A2887">
        <w:rPr>
          <w:rFonts w:ascii="Arial" w:eastAsia="Times New Roman" w:hAnsi="Arial" w:cs="Arial"/>
          <w:sz w:val="20"/>
          <w:szCs w:val="20"/>
        </w:rPr>
        <w:t xml:space="preserve">pásma úrokových sazeb, </w:t>
      </w:r>
      <w:r w:rsidR="00AA0920" w:rsidRPr="003A2887">
        <w:rPr>
          <w:rFonts w:ascii="Arial" w:eastAsia="Times New Roman" w:hAnsi="Arial" w:cs="Arial"/>
          <w:sz w:val="20"/>
          <w:szCs w:val="20"/>
        </w:rPr>
        <w:t>tak i</w:t>
      </w:r>
      <w:r w:rsidRPr="003A2887">
        <w:rPr>
          <w:rFonts w:ascii="Arial" w:eastAsia="Times New Roman" w:hAnsi="Arial" w:cs="Arial"/>
          <w:sz w:val="20"/>
          <w:szCs w:val="20"/>
        </w:rPr>
        <w:t xml:space="preserve"> přísnější riziková kritéria. Žadatel o úvěr </w:t>
      </w:r>
      <w:r w:rsidR="00AA0920" w:rsidRPr="003A2887">
        <w:rPr>
          <w:rFonts w:ascii="Arial" w:eastAsia="Times New Roman" w:hAnsi="Arial" w:cs="Arial"/>
          <w:sz w:val="20"/>
          <w:szCs w:val="20"/>
        </w:rPr>
        <w:t>má tedy přesnou informaci o výši sazby</w:t>
      </w:r>
      <w:r w:rsidRPr="003A2887">
        <w:rPr>
          <w:rFonts w:ascii="Arial" w:eastAsia="Times New Roman" w:hAnsi="Arial" w:cs="Arial"/>
          <w:sz w:val="20"/>
          <w:szCs w:val="20"/>
        </w:rPr>
        <w:t xml:space="preserve">, nicméně může </w:t>
      </w:r>
      <w:r w:rsidR="003A2887" w:rsidRPr="003A2887">
        <w:rPr>
          <w:rFonts w:ascii="Arial" w:eastAsia="Times New Roman" w:hAnsi="Arial" w:cs="Arial"/>
          <w:sz w:val="20"/>
          <w:szCs w:val="20"/>
        </w:rPr>
        <w:t>dojít k tomu, že</w:t>
      </w:r>
      <w:r w:rsidRPr="003A2887">
        <w:rPr>
          <w:rFonts w:ascii="Arial" w:eastAsia="Times New Roman" w:hAnsi="Arial" w:cs="Arial"/>
          <w:sz w:val="20"/>
          <w:szCs w:val="20"/>
        </w:rPr>
        <w:t xml:space="preserve"> jeho úvěr schválen nebude. Druhý </w:t>
      </w:r>
      <w:r w:rsidR="00F4229F" w:rsidRPr="003A2887">
        <w:rPr>
          <w:rFonts w:ascii="Arial" w:eastAsia="Times New Roman" w:hAnsi="Arial" w:cs="Arial"/>
          <w:sz w:val="20"/>
          <w:szCs w:val="20"/>
        </w:rPr>
        <w:t>model přistupuje k p</w:t>
      </w:r>
      <w:r w:rsidRPr="003A2887">
        <w:rPr>
          <w:rFonts w:ascii="Arial" w:eastAsia="Times New Roman" w:hAnsi="Arial" w:cs="Arial"/>
          <w:sz w:val="20"/>
          <w:szCs w:val="20"/>
        </w:rPr>
        <w:t xml:space="preserve">oskytování úvěrů na spotřebu z pohledu klienta. </w:t>
      </w:r>
      <w:r w:rsidR="00DD7FC1" w:rsidRPr="003A2887">
        <w:rPr>
          <w:rFonts w:ascii="Arial" w:eastAsia="Times New Roman" w:hAnsi="Arial" w:cs="Arial"/>
          <w:sz w:val="20"/>
          <w:szCs w:val="20"/>
        </w:rPr>
        <w:t>P</w:t>
      </w:r>
      <w:r w:rsidRPr="003A2887">
        <w:rPr>
          <w:rFonts w:ascii="Arial" w:eastAsia="Times New Roman" w:hAnsi="Arial" w:cs="Arial"/>
          <w:sz w:val="20"/>
          <w:szCs w:val="20"/>
        </w:rPr>
        <w:t xml:space="preserve">oskytovatel úvěru </w:t>
      </w:r>
      <w:r w:rsidR="00F4229F" w:rsidRPr="003A2887">
        <w:rPr>
          <w:rFonts w:ascii="Arial" w:eastAsia="Times New Roman" w:hAnsi="Arial" w:cs="Arial"/>
          <w:sz w:val="20"/>
          <w:szCs w:val="20"/>
        </w:rPr>
        <w:t xml:space="preserve">zhodnotí klienta </w:t>
      </w:r>
      <w:r w:rsidR="00191B34" w:rsidRPr="003A2887">
        <w:rPr>
          <w:rFonts w:ascii="Arial" w:eastAsia="Times New Roman" w:hAnsi="Arial" w:cs="Arial"/>
          <w:sz w:val="20"/>
          <w:szCs w:val="20"/>
        </w:rPr>
        <w:t xml:space="preserve">na základě </w:t>
      </w:r>
      <w:r w:rsidR="00BE2BCC">
        <w:rPr>
          <w:rFonts w:ascii="Arial" w:eastAsia="Times New Roman" w:hAnsi="Arial" w:cs="Arial"/>
          <w:sz w:val="20"/>
          <w:szCs w:val="20"/>
        </w:rPr>
        <w:t xml:space="preserve">rizikových </w:t>
      </w:r>
      <w:r w:rsidR="00191B34" w:rsidRPr="003A2887">
        <w:rPr>
          <w:rFonts w:ascii="Arial" w:eastAsia="Times New Roman" w:hAnsi="Arial" w:cs="Arial"/>
          <w:sz w:val="20"/>
          <w:szCs w:val="20"/>
        </w:rPr>
        <w:t xml:space="preserve">kritérií a podle toho </w:t>
      </w:r>
      <w:r w:rsidRPr="003A2887">
        <w:rPr>
          <w:rFonts w:ascii="Arial" w:eastAsia="Times New Roman" w:hAnsi="Arial" w:cs="Arial"/>
          <w:sz w:val="20"/>
          <w:szCs w:val="20"/>
        </w:rPr>
        <w:t>mu nabídne úrokovou sazbu, která odráží riziko případného ne</w:t>
      </w:r>
      <w:r w:rsidR="00191B34" w:rsidRPr="003A2887">
        <w:rPr>
          <w:rFonts w:ascii="Arial" w:eastAsia="Times New Roman" w:hAnsi="Arial" w:cs="Arial"/>
          <w:sz w:val="20"/>
          <w:szCs w:val="20"/>
        </w:rPr>
        <w:t xml:space="preserve">splacení. </w:t>
      </w:r>
      <w:r w:rsidR="00DD7FC1" w:rsidRPr="003A2887">
        <w:rPr>
          <w:rFonts w:ascii="Arial" w:eastAsia="Times New Roman" w:hAnsi="Arial" w:cs="Arial"/>
          <w:sz w:val="20"/>
          <w:szCs w:val="20"/>
        </w:rPr>
        <w:t xml:space="preserve">Jedná se tedy </w:t>
      </w:r>
      <w:r w:rsidR="00191B34" w:rsidRPr="003A2887">
        <w:rPr>
          <w:rFonts w:ascii="Arial" w:eastAsia="Times New Roman" w:hAnsi="Arial" w:cs="Arial"/>
          <w:sz w:val="20"/>
          <w:szCs w:val="20"/>
        </w:rPr>
        <w:t>o model,</w:t>
      </w:r>
      <w:r w:rsidR="00F4229F" w:rsidRPr="003A2887">
        <w:rPr>
          <w:rFonts w:ascii="Arial" w:eastAsia="Times New Roman" w:hAnsi="Arial" w:cs="Arial"/>
          <w:sz w:val="20"/>
          <w:szCs w:val="20"/>
        </w:rPr>
        <w:t xml:space="preserve"> který žadateli nabízí </w:t>
      </w:r>
      <w:r w:rsidR="00191B34" w:rsidRPr="003A2887">
        <w:rPr>
          <w:rFonts w:ascii="Arial" w:eastAsia="Times New Roman" w:hAnsi="Arial" w:cs="Arial"/>
          <w:sz w:val="20"/>
          <w:szCs w:val="20"/>
        </w:rPr>
        <w:t>mnohem</w:t>
      </w:r>
      <w:r w:rsidR="00F4229F" w:rsidRPr="003A2887">
        <w:rPr>
          <w:rFonts w:ascii="Arial" w:eastAsia="Times New Roman" w:hAnsi="Arial" w:cs="Arial"/>
          <w:sz w:val="20"/>
          <w:szCs w:val="20"/>
        </w:rPr>
        <w:t xml:space="preserve"> vyšší</w:t>
      </w:r>
      <w:r w:rsidRPr="003A2887">
        <w:rPr>
          <w:rFonts w:ascii="Arial" w:eastAsia="Times New Roman" w:hAnsi="Arial" w:cs="Arial"/>
          <w:sz w:val="20"/>
          <w:szCs w:val="20"/>
        </w:rPr>
        <w:t xml:space="preserve"> šanci na schválení, </w:t>
      </w:r>
      <w:r w:rsidR="00191B34" w:rsidRPr="003A2887">
        <w:rPr>
          <w:rFonts w:ascii="Arial" w:eastAsia="Times New Roman" w:hAnsi="Arial" w:cs="Arial"/>
          <w:sz w:val="20"/>
          <w:szCs w:val="20"/>
        </w:rPr>
        <w:t xml:space="preserve">ovšem </w:t>
      </w:r>
      <w:r w:rsidRPr="003A2887">
        <w:rPr>
          <w:rFonts w:ascii="Arial" w:eastAsia="Times New Roman" w:hAnsi="Arial" w:cs="Arial"/>
          <w:sz w:val="20"/>
          <w:szCs w:val="20"/>
        </w:rPr>
        <w:t>za vyšší cenu. </w:t>
      </w:r>
    </w:p>
    <w:p w14:paraId="57EE75B1" w14:textId="77777777" w:rsidR="007052FC" w:rsidRPr="003A2887" w:rsidRDefault="007052FC" w:rsidP="00AA0920">
      <w:pPr>
        <w:jc w:val="both"/>
        <w:rPr>
          <w:rFonts w:ascii="Arial" w:eastAsia="Times New Roman" w:hAnsi="Arial" w:cs="Arial"/>
          <w:sz w:val="20"/>
          <w:szCs w:val="20"/>
        </w:rPr>
      </w:pPr>
    </w:p>
    <w:p w14:paraId="7225FDD6" w14:textId="520AD60D" w:rsidR="007052FC" w:rsidRPr="003A2887" w:rsidRDefault="00DD7FC1" w:rsidP="00AA0920">
      <w:pPr>
        <w:jc w:val="both"/>
        <w:rPr>
          <w:rFonts w:ascii="Arial" w:eastAsia="Times New Roman" w:hAnsi="Arial" w:cs="Arial"/>
          <w:sz w:val="20"/>
          <w:szCs w:val="20"/>
        </w:rPr>
      </w:pPr>
      <w:r w:rsidRPr="003A2887">
        <w:rPr>
          <w:rFonts w:ascii="Arial" w:eastAsia="Times New Roman" w:hAnsi="Arial" w:cs="Arial"/>
          <w:i/>
          <w:sz w:val="20"/>
          <w:szCs w:val="20"/>
        </w:rPr>
        <w:t xml:space="preserve">„Také v období mezi vánočními svátky by klienti měli mít na paměti, že </w:t>
      </w:r>
      <w:r w:rsidR="007052FC" w:rsidRPr="003A2887">
        <w:rPr>
          <w:rFonts w:ascii="Arial" w:eastAsia="Times New Roman" w:hAnsi="Arial" w:cs="Arial"/>
          <w:i/>
          <w:sz w:val="20"/>
          <w:szCs w:val="20"/>
        </w:rPr>
        <w:t xml:space="preserve">spotřebitelský úvěr je dobrý sluha, ale zlý pán. </w:t>
      </w:r>
      <w:r w:rsidRPr="003A2887">
        <w:rPr>
          <w:rFonts w:ascii="Arial" w:eastAsia="Times New Roman" w:hAnsi="Arial" w:cs="Arial"/>
          <w:i/>
          <w:sz w:val="20"/>
          <w:szCs w:val="20"/>
        </w:rPr>
        <w:t>Klientům, kteří se ocitnou v nenadále životní situaci, může tento úvěr</w:t>
      </w:r>
      <w:r w:rsidR="007052FC" w:rsidRPr="003A2887">
        <w:rPr>
          <w:rFonts w:ascii="Arial" w:eastAsia="Times New Roman" w:hAnsi="Arial" w:cs="Arial"/>
          <w:i/>
          <w:sz w:val="20"/>
          <w:szCs w:val="20"/>
        </w:rPr>
        <w:t xml:space="preserve"> pomoci </w:t>
      </w:r>
      <w:r w:rsidRPr="003A2887">
        <w:rPr>
          <w:rFonts w:ascii="Arial" w:eastAsia="Times New Roman" w:hAnsi="Arial" w:cs="Arial"/>
          <w:i/>
          <w:sz w:val="20"/>
          <w:szCs w:val="20"/>
        </w:rPr>
        <w:t>vyřešit rychlý nákup čehokoliv</w:t>
      </w:r>
      <w:r w:rsidR="00EF18D9" w:rsidRPr="003A2887">
        <w:rPr>
          <w:rFonts w:ascii="Arial" w:eastAsia="Times New Roman" w:hAnsi="Arial" w:cs="Arial"/>
          <w:i/>
          <w:sz w:val="20"/>
          <w:szCs w:val="20"/>
        </w:rPr>
        <w:t xml:space="preserve">. </w:t>
      </w:r>
      <w:r w:rsidRPr="003A2887">
        <w:rPr>
          <w:rFonts w:ascii="Arial" w:eastAsia="Times New Roman" w:hAnsi="Arial" w:cs="Arial"/>
          <w:i/>
          <w:sz w:val="20"/>
          <w:szCs w:val="20"/>
        </w:rPr>
        <w:t>V žádném případě by ale ne</w:t>
      </w:r>
      <w:r w:rsidR="007052FC" w:rsidRPr="003A2887">
        <w:rPr>
          <w:rFonts w:ascii="Arial" w:eastAsia="Times New Roman" w:hAnsi="Arial" w:cs="Arial"/>
          <w:i/>
          <w:sz w:val="20"/>
          <w:szCs w:val="20"/>
        </w:rPr>
        <w:t xml:space="preserve">měl sloužit </w:t>
      </w:r>
      <w:r w:rsidR="00EF18D9" w:rsidRPr="003A2887">
        <w:rPr>
          <w:rFonts w:ascii="Arial" w:eastAsia="Times New Roman" w:hAnsi="Arial" w:cs="Arial"/>
          <w:i/>
          <w:sz w:val="20"/>
          <w:szCs w:val="20"/>
        </w:rPr>
        <w:t>k</w:t>
      </w:r>
      <w:r w:rsidR="007052FC" w:rsidRPr="003A2887">
        <w:rPr>
          <w:rFonts w:ascii="Arial" w:eastAsia="Times New Roman" w:hAnsi="Arial" w:cs="Arial"/>
          <w:i/>
          <w:sz w:val="20"/>
          <w:szCs w:val="20"/>
        </w:rPr>
        <w:t xml:space="preserve"> nákup</w:t>
      </w:r>
      <w:r w:rsidR="00EF18D9" w:rsidRPr="003A2887">
        <w:rPr>
          <w:rFonts w:ascii="Arial" w:eastAsia="Times New Roman" w:hAnsi="Arial" w:cs="Arial"/>
          <w:i/>
          <w:sz w:val="20"/>
          <w:szCs w:val="20"/>
        </w:rPr>
        <w:t>u</w:t>
      </w:r>
      <w:r w:rsidR="007052FC" w:rsidRPr="003A2887">
        <w:rPr>
          <w:rFonts w:ascii="Arial" w:eastAsia="Times New Roman" w:hAnsi="Arial" w:cs="Arial"/>
          <w:i/>
          <w:sz w:val="20"/>
          <w:szCs w:val="20"/>
        </w:rPr>
        <w:t xml:space="preserve"> zážitků a dárků</w:t>
      </w:r>
      <w:r w:rsidRPr="003A2887">
        <w:rPr>
          <w:rFonts w:ascii="Arial" w:eastAsia="Times New Roman" w:hAnsi="Arial" w:cs="Arial"/>
          <w:i/>
          <w:sz w:val="20"/>
          <w:szCs w:val="20"/>
        </w:rPr>
        <w:t>,“</w:t>
      </w:r>
      <w:r w:rsidRPr="003A2887">
        <w:rPr>
          <w:rFonts w:ascii="Arial" w:eastAsia="Times New Roman" w:hAnsi="Arial" w:cs="Arial"/>
          <w:sz w:val="20"/>
          <w:szCs w:val="20"/>
        </w:rPr>
        <w:t xml:space="preserve"> upozorňuje </w:t>
      </w:r>
      <w:r w:rsidRPr="003A2887">
        <w:rPr>
          <w:rFonts w:ascii="Arial" w:eastAsia="Times New Roman" w:hAnsi="Arial" w:cs="Arial"/>
          <w:b/>
          <w:sz w:val="20"/>
          <w:szCs w:val="20"/>
        </w:rPr>
        <w:t>Jiří Tatýrek ml., ředitel pražské pobočky OK POINT Luka</w:t>
      </w:r>
      <w:r w:rsidRPr="003A2887">
        <w:rPr>
          <w:rFonts w:ascii="Arial" w:eastAsia="Times New Roman" w:hAnsi="Arial" w:cs="Arial"/>
          <w:sz w:val="20"/>
          <w:szCs w:val="20"/>
        </w:rPr>
        <w:t>.</w:t>
      </w:r>
    </w:p>
    <w:p w14:paraId="04C298E0" w14:textId="77777777" w:rsidR="00EF18D9" w:rsidRPr="00A122A8" w:rsidRDefault="00EF18D9" w:rsidP="00AA0920">
      <w:pPr>
        <w:jc w:val="both"/>
        <w:rPr>
          <w:rFonts w:ascii="Arial" w:eastAsia="Times New Roman" w:hAnsi="Arial" w:cs="Arial"/>
          <w:sz w:val="20"/>
          <w:szCs w:val="20"/>
        </w:rPr>
      </w:pPr>
    </w:p>
    <w:p w14:paraId="7C9C9C89" w14:textId="3DBF10E0" w:rsidR="00DF020C" w:rsidRPr="003A2887" w:rsidRDefault="00EF18D9" w:rsidP="003A2887">
      <w:pPr>
        <w:rPr>
          <w:rFonts w:ascii="Arial" w:eastAsia="Times New Roman" w:hAnsi="Arial" w:cs="Arial"/>
          <w:sz w:val="20"/>
          <w:szCs w:val="20"/>
        </w:rPr>
      </w:pPr>
      <w:r>
        <w:rPr>
          <w:rFonts w:ascii="Arial" w:eastAsia="Times New Roman" w:hAnsi="Arial" w:cs="Arial"/>
          <w:i/>
          <w:noProof/>
          <w:sz w:val="20"/>
          <w:szCs w:val="20"/>
          <w:lang w:bidi="ar-SA"/>
        </w:rPr>
        <w:drawing>
          <wp:inline distT="0" distB="0" distL="0" distR="0" wp14:anchorId="0A56BDC5" wp14:editId="7E135323">
            <wp:extent cx="6634480" cy="3048000"/>
            <wp:effectExtent l="0" t="0" r="0" b="0"/>
            <wp:docPr id="1" name="Obrázek 1" descr="C:\Users\tkunova\AppData\Local\Microsoft\Windows\INetCache\Content.Word\GRAF BC Index spotrebitelskych uveru - listopad 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kunova\AppData\Local\Microsoft\Windows\INetCache\Content.Word\GRAF BC Index spotrebitelskych uveru - listopad 202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4480" cy="3048000"/>
                    </a:xfrm>
                    <a:prstGeom prst="rect">
                      <a:avLst/>
                    </a:prstGeom>
                    <a:noFill/>
                    <a:ln>
                      <a:noFill/>
                    </a:ln>
                  </pic:spPr>
                </pic:pic>
              </a:graphicData>
            </a:graphic>
          </wp:inline>
        </w:drawing>
      </w:r>
    </w:p>
    <w:p w14:paraId="36634C75" w14:textId="77777777" w:rsidR="00860609" w:rsidRDefault="00860609" w:rsidP="00F5432C">
      <w:pPr>
        <w:jc w:val="both"/>
        <w:rPr>
          <w:rFonts w:ascii="Arial" w:hAnsi="Arial" w:cs="Arial"/>
          <w:b/>
          <w:bCs/>
          <w:sz w:val="20"/>
          <w:szCs w:val="20"/>
        </w:rPr>
      </w:pPr>
    </w:p>
    <w:p w14:paraId="0A7DCA52" w14:textId="16B6F908" w:rsidR="0031712D" w:rsidRDefault="0031712D" w:rsidP="00480982">
      <w:pPr>
        <w:pBdr>
          <w:bottom w:val="single" w:sz="4" w:space="1" w:color="auto"/>
        </w:pBdr>
        <w:jc w:val="both"/>
        <w:rPr>
          <w:rFonts w:ascii="Arial" w:hAnsi="Arial" w:cs="Arial"/>
          <w:sz w:val="20"/>
          <w:szCs w:val="20"/>
        </w:rPr>
      </w:pPr>
      <w:r w:rsidRPr="00F51B95">
        <w:rPr>
          <w:rFonts w:ascii="Arial" w:hAnsi="Arial" w:cs="Arial"/>
          <w:sz w:val="20"/>
          <w:szCs w:val="20"/>
        </w:rPr>
        <w:t>Broker Consulting Index spotřebitelských úvěrů je analytický nástroj, který ukazuje průměrnou úrokovou sazbu u spotřebitelských úvěrů, jež zprostředkovali konzultanti Broker Consulting a pobočky OK POINT u kteréhokoli poskytovatele bankovních úvěrů. Jedná se o vážený aritmetický průměr, kdy hlavní vahou je objem úvěru. Tedy čím vyšší úvěr, tím jeho sazba do Indexu vstupuje větší vahou. Výhodou metody výpočtu je to, že se do statistiky dostávají pouze  skutečně  schválené  úvěry, a to bez výjimky všechny. Nemůže tak dojít ke zkreslení informací a Index není závislý na datech dodávaných třetími stranami.</w:t>
      </w:r>
    </w:p>
    <w:p w14:paraId="047C5B29" w14:textId="77777777" w:rsidR="00480982" w:rsidRPr="00F51B95" w:rsidRDefault="00480982" w:rsidP="00480982">
      <w:pPr>
        <w:pBdr>
          <w:bottom w:val="single" w:sz="4" w:space="1" w:color="auto"/>
        </w:pBdr>
        <w:jc w:val="both"/>
        <w:rPr>
          <w:rFonts w:ascii="Arial" w:hAnsi="Arial" w:cs="Arial"/>
          <w:sz w:val="20"/>
          <w:szCs w:val="20"/>
        </w:rPr>
      </w:pPr>
    </w:p>
    <w:p w14:paraId="20CF399F" w14:textId="783A6925" w:rsidR="00EB4785" w:rsidRDefault="0031712D" w:rsidP="00480982">
      <w:pPr>
        <w:tabs>
          <w:tab w:val="left" w:pos="7152"/>
        </w:tabs>
        <w:jc w:val="both"/>
        <w:rPr>
          <w:rFonts w:ascii="Arial" w:hAnsi="Arial" w:cs="Arial"/>
          <w:b/>
          <w:sz w:val="18"/>
          <w:szCs w:val="16"/>
        </w:rPr>
      </w:pPr>
      <w:r>
        <w:rPr>
          <w:rFonts w:ascii="Arial" w:hAnsi="Arial" w:cs="Arial"/>
          <w:b/>
          <w:sz w:val="18"/>
          <w:szCs w:val="16"/>
        </w:rPr>
        <w:lastRenderedPageBreak/>
        <w:tab/>
      </w:r>
    </w:p>
    <w:p w14:paraId="538051E2" w14:textId="4924DFCB" w:rsidR="0031712D" w:rsidRPr="00B244B9" w:rsidRDefault="0031712D" w:rsidP="0031712D">
      <w:pPr>
        <w:jc w:val="both"/>
        <w:rPr>
          <w:rFonts w:ascii="Arial" w:hAnsi="Arial" w:cs="Arial"/>
          <w:sz w:val="18"/>
          <w:szCs w:val="16"/>
        </w:rPr>
      </w:pPr>
      <w:r w:rsidRPr="00B244B9">
        <w:rPr>
          <w:rFonts w:ascii="Arial" w:hAnsi="Arial" w:cs="Arial"/>
          <w:b/>
          <w:sz w:val="18"/>
          <w:szCs w:val="16"/>
        </w:rPr>
        <w:t>Poznámka pro média:</w:t>
      </w:r>
      <w:r w:rsidRPr="00B244B9">
        <w:rPr>
          <w:rFonts w:ascii="Arial" w:hAnsi="Arial" w:cs="Arial"/>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Indexy</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je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možné</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volně</w:t>
      </w:r>
      <w:r w:rsidRPr="00B244B9">
        <w:rPr>
          <w:rFonts w:ascii="Arial" w:hAnsi="Arial" w:cs="Arial"/>
          <w:color w:val="1D1D1B"/>
          <w:spacing w:val="-8"/>
          <w:w w:val="105"/>
          <w:sz w:val="18"/>
          <w:szCs w:val="16"/>
        </w:rPr>
        <w:t xml:space="preserve"> </w:t>
      </w:r>
      <w:r w:rsidRPr="00B244B9">
        <w:rPr>
          <w:rFonts w:ascii="Arial" w:hAnsi="Arial" w:cs="Arial"/>
          <w:color w:val="1D1D1B"/>
          <w:spacing w:val="2"/>
          <w:w w:val="105"/>
          <w:sz w:val="18"/>
          <w:szCs w:val="16"/>
        </w:rPr>
        <w:t>publikovat</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pouze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s</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označením</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w:t>
      </w:r>
      <w:r w:rsidRPr="00B244B9">
        <w:rPr>
          <w:rFonts w:ascii="Arial" w:hAnsi="Arial" w:cs="Arial"/>
          <w:color w:val="1D1D1B"/>
          <w:spacing w:val="-9"/>
          <w:w w:val="105"/>
          <w:sz w:val="18"/>
          <w:szCs w:val="16"/>
        </w:rPr>
        <w:t xml:space="preserve"> </w:t>
      </w:r>
      <w:r w:rsidRPr="00B244B9">
        <w:rPr>
          <w:rFonts w:ascii="Arial" w:hAnsi="Arial" w:cs="Arial"/>
          <w:color w:val="1D1D1B"/>
          <w:spacing w:val="-3"/>
          <w:w w:val="105"/>
          <w:sz w:val="18"/>
          <w:szCs w:val="16"/>
        </w:rPr>
        <w:t>(</w:t>
      </w:r>
      <w:r w:rsidRPr="00B244B9">
        <w:rPr>
          <w:rFonts w:ascii="Arial" w:hAnsi="Arial" w:cs="Arial"/>
          <w:i/>
          <w:color w:val="1D1D1B"/>
          <w:spacing w:val="-3"/>
          <w:w w:val="105"/>
          <w:sz w:val="18"/>
          <w:szCs w:val="16"/>
        </w:rPr>
        <w:t>např.</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Broker</w:t>
      </w:r>
      <w:r w:rsidRPr="00B244B9">
        <w:rPr>
          <w:rFonts w:ascii="Arial" w:hAnsi="Arial" w:cs="Arial"/>
          <w:i/>
          <w:color w:val="1D1D1B"/>
          <w:spacing w:val="-9"/>
          <w:w w:val="105"/>
          <w:sz w:val="18"/>
          <w:szCs w:val="16"/>
        </w:rPr>
        <w:t xml:space="preserve"> </w:t>
      </w:r>
      <w:r w:rsidRPr="00B244B9">
        <w:rPr>
          <w:rFonts w:ascii="Arial" w:hAnsi="Arial" w:cs="Arial"/>
          <w:i/>
          <w:color w:val="1D1D1B"/>
          <w:w w:val="105"/>
          <w:sz w:val="18"/>
          <w:szCs w:val="16"/>
        </w:rPr>
        <w:t>Consulting</w:t>
      </w:r>
      <w:r w:rsidRPr="00B244B9">
        <w:rPr>
          <w:rFonts w:ascii="Arial" w:hAnsi="Arial" w:cs="Arial"/>
          <w:i/>
          <w:color w:val="1D1D1B"/>
          <w:spacing w:val="-8"/>
          <w:w w:val="105"/>
          <w:sz w:val="18"/>
          <w:szCs w:val="16"/>
        </w:rPr>
        <w:t xml:space="preserve"> </w:t>
      </w:r>
      <w:r w:rsidR="002E633F">
        <w:rPr>
          <w:rFonts w:ascii="Arial" w:hAnsi="Arial" w:cs="Arial"/>
          <w:i/>
          <w:color w:val="1D1D1B"/>
          <w:spacing w:val="-8"/>
          <w:w w:val="105"/>
          <w:sz w:val="18"/>
          <w:szCs w:val="16"/>
        </w:rPr>
        <w:t xml:space="preserve">Index </w:t>
      </w:r>
      <w:r w:rsidRPr="00B244B9">
        <w:rPr>
          <w:rFonts w:ascii="Arial" w:hAnsi="Arial" w:cs="Arial"/>
          <w:i/>
          <w:color w:val="1D1D1B"/>
          <w:w w:val="105"/>
          <w:sz w:val="18"/>
          <w:szCs w:val="16"/>
        </w:rPr>
        <w:t>hypoteční</w:t>
      </w:r>
      <w:r w:rsidR="002E633F">
        <w:rPr>
          <w:rFonts w:ascii="Arial" w:hAnsi="Arial" w:cs="Arial"/>
          <w:i/>
          <w:color w:val="1D1D1B"/>
          <w:spacing w:val="-9"/>
          <w:w w:val="105"/>
          <w:sz w:val="18"/>
          <w:szCs w:val="16"/>
        </w:rPr>
        <w:t>ch úvěrů</w:t>
      </w:r>
      <w:r w:rsidRPr="00B244B9">
        <w:rPr>
          <w:rFonts w:ascii="Arial" w:hAnsi="Arial" w:cs="Arial"/>
          <w:i/>
          <w:color w:val="1D1D1B"/>
          <w:w w:val="105"/>
          <w:sz w:val="18"/>
          <w:szCs w:val="16"/>
        </w:rPr>
        <w:t xml:space="preserve">). Více informací najdete též na webu </w:t>
      </w:r>
      <w:r w:rsidRPr="00C42FAF">
        <w:rPr>
          <w:rStyle w:val="Hypertextovodkaz"/>
          <w:rFonts w:ascii="Arial" w:hAnsi="Arial" w:cs="Arial"/>
          <w:i/>
          <w:w w:val="105"/>
          <w:sz w:val="18"/>
          <w:szCs w:val="16"/>
        </w:rPr>
        <w:t>https://www.bcas.cz/onas/pro-media/</w:t>
      </w:r>
      <w:r w:rsidRPr="00B244B9">
        <w:rPr>
          <w:rFonts w:ascii="Arial" w:hAnsi="Arial" w:cs="Arial"/>
          <w:i/>
          <w:color w:val="1D1D1B"/>
          <w:w w:val="105"/>
          <w:sz w:val="18"/>
          <w:szCs w:val="16"/>
        </w:rPr>
        <w:t xml:space="preserve">. </w:t>
      </w:r>
    </w:p>
    <w:p w14:paraId="312DA4D6" w14:textId="133E170F" w:rsidR="00E11439" w:rsidRDefault="00E11439" w:rsidP="0031712D">
      <w:pPr>
        <w:tabs>
          <w:tab w:val="center" w:pos="5225"/>
        </w:tabs>
        <w:jc w:val="both"/>
        <w:rPr>
          <w:rFonts w:ascii="Arial" w:hAnsi="Arial" w:cs="Arial"/>
          <w:b/>
          <w:sz w:val="18"/>
        </w:rPr>
      </w:pPr>
    </w:p>
    <w:p w14:paraId="4E93FC12" w14:textId="77777777" w:rsidR="00E11439" w:rsidRDefault="00E11439" w:rsidP="0031712D">
      <w:pPr>
        <w:tabs>
          <w:tab w:val="center" w:pos="5225"/>
        </w:tabs>
        <w:jc w:val="both"/>
        <w:rPr>
          <w:rFonts w:ascii="Arial" w:hAnsi="Arial" w:cs="Arial"/>
          <w:b/>
          <w:sz w:val="18"/>
        </w:rPr>
      </w:pPr>
    </w:p>
    <w:p w14:paraId="2BD1B3AF" w14:textId="7269349B" w:rsidR="0031712D" w:rsidRPr="00347557" w:rsidRDefault="0031712D" w:rsidP="0031712D">
      <w:pPr>
        <w:tabs>
          <w:tab w:val="center" w:pos="5225"/>
        </w:tabs>
        <w:jc w:val="both"/>
        <w:rPr>
          <w:rFonts w:ascii="Arial" w:hAnsi="Arial" w:cs="Arial"/>
          <w:b/>
          <w:sz w:val="18"/>
        </w:rPr>
      </w:pPr>
      <w:r>
        <w:rPr>
          <w:rFonts w:ascii="Arial" w:hAnsi="Arial" w:cs="Arial"/>
          <w:b/>
          <w:sz w:val="18"/>
        </w:rPr>
        <w:t>Proč je dobré I</w:t>
      </w:r>
      <w:r w:rsidRPr="00347557">
        <w:rPr>
          <w:rFonts w:ascii="Arial" w:hAnsi="Arial" w:cs="Arial"/>
          <w:b/>
          <w:sz w:val="18"/>
        </w:rPr>
        <w:t>ndex sledovat</w:t>
      </w:r>
      <w:r>
        <w:rPr>
          <w:rFonts w:ascii="Arial" w:hAnsi="Arial" w:cs="Arial"/>
          <w:b/>
          <w:sz w:val="18"/>
        </w:rPr>
        <w:tab/>
      </w:r>
    </w:p>
    <w:p w14:paraId="26E6F8FF" w14:textId="3D3CCD06" w:rsidR="0031712D" w:rsidRPr="00682D62" w:rsidRDefault="0031712D" w:rsidP="0031712D">
      <w:pPr>
        <w:jc w:val="both"/>
        <w:rPr>
          <w:rFonts w:ascii="Arial" w:hAnsi="Arial" w:cs="Arial"/>
          <w:sz w:val="18"/>
        </w:rPr>
      </w:pPr>
      <w:r w:rsidRPr="00347557">
        <w:rPr>
          <w:rFonts w:ascii="Arial" w:hAnsi="Arial" w:cs="Arial"/>
          <w:sz w:val="18"/>
        </w:rPr>
        <w:t>Broker Consulting Index spotřebitelských úvěrů zachycuje vývoj úrokových sazeb u spotřebitelských bankovních úvěrů. Je praktickým indikátorem toho, jak se pro českou veřejnost úvěry vyvíjejí z hlediska úrokových sazeb, a tedy i výše splátek na určitou půjčenou sumu. Lidé si tyto typy úvěrů berou, aby financovali různé potřeby. Od dovolené přes nový telefon až po překlenutí nějaké 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 bance, nebo v nebankovní instituci a úroková sazba je výrazněji vyšší než aktuální index, je potřeba zpozornět.</w:t>
      </w:r>
      <w:r>
        <w:rPr>
          <w:sz w:val="20"/>
        </w:rPr>
        <w:tab/>
      </w:r>
    </w:p>
    <w:p w14:paraId="05EB1FDD" w14:textId="77777777" w:rsidR="0031712D" w:rsidRDefault="0031712D" w:rsidP="0031712D">
      <w:pPr>
        <w:jc w:val="both"/>
        <w:rPr>
          <w:sz w:val="20"/>
        </w:rPr>
      </w:pPr>
    </w:p>
    <w:p w14:paraId="45BCCA66" w14:textId="77777777" w:rsidR="0031712D" w:rsidRDefault="0031712D" w:rsidP="0031712D">
      <w:pPr>
        <w:jc w:val="both"/>
        <w:rPr>
          <w:sz w:val="20"/>
        </w:rPr>
      </w:pPr>
    </w:p>
    <w:p w14:paraId="76AD7741" w14:textId="77777777" w:rsidR="0031712D" w:rsidRPr="00D60D98" w:rsidRDefault="0031712D" w:rsidP="0031712D">
      <w:pPr>
        <w:jc w:val="both"/>
        <w:rPr>
          <w:rFonts w:ascii="Arial" w:eastAsia="Calibri" w:hAnsi="Arial" w:cs="Arial"/>
          <w:b/>
          <w:bCs/>
          <w:noProof/>
          <w:sz w:val="20"/>
          <w:szCs w:val="20"/>
        </w:rPr>
      </w:pPr>
    </w:p>
    <w:p w14:paraId="77C4F9DD" w14:textId="77777777" w:rsidR="0031712D" w:rsidRDefault="0031712D" w:rsidP="0031712D">
      <w:pPr>
        <w:rPr>
          <w:rFonts w:ascii="Arial" w:eastAsia="Calibri" w:hAnsi="Arial" w:cs="Arial"/>
          <w:b/>
          <w:bCs/>
          <w:noProof/>
          <w:sz w:val="20"/>
          <w:szCs w:val="20"/>
        </w:rPr>
      </w:pPr>
      <w:r w:rsidRPr="00D60D98">
        <w:rPr>
          <w:rFonts w:ascii="Arial" w:eastAsia="Calibri" w:hAnsi="Arial" w:cs="Arial"/>
          <w:b/>
          <w:bCs/>
          <w:noProof/>
          <w:sz w:val="20"/>
          <w:szCs w:val="20"/>
        </w:rPr>
        <w:t>Kontakt pro média:</w:t>
      </w:r>
    </w:p>
    <w:p w14:paraId="5AB279DC" w14:textId="77777777" w:rsidR="0031712D" w:rsidRPr="002A6FA3" w:rsidRDefault="0031712D" w:rsidP="0031712D">
      <w:pPr>
        <w:rPr>
          <w:rFonts w:ascii="Arial" w:eastAsia="Calibri" w:hAnsi="Arial" w:cs="Arial"/>
          <w:b/>
          <w:bCs/>
          <w:noProof/>
          <w:sz w:val="18"/>
          <w:szCs w:val="18"/>
          <w:lang w:bidi="ar-SA"/>
        </w:rPr>
      </w:pPr>
      <w:r>
        <w:rPr>
          <w:sz w:val="20"/>
        </w:rPr>
        <w:br/>
      </w:r>
      <w:r w:rsidRPr="002A6FA3">
        <w:rPr>
          <w:rFonts w:ascii="Arial" w:eastAsia="Calibri" w:hAnsi="Arial" w:cs="Arial"/>
          <w:b/>
          <w:bCs/>
          <w:noProof/>
          <w:sz w:val="18"/>
          <w:szCs w:val="18"/>
        </w:rPr>
        <w:t>Tereza Kunová</w:t>
      </w:r>
    </w:p>
    <w:p w14:paraId="0BF9E064" w14:textId="77777777" w:rsidR="0031712D" w:rsidRPr="002A6FA3" w:rsidRDefault="0031712D" w:rsidP="0031712D">
      <w:pPr>
        <w:spacing w:after="225"/>
        <w:rPr>
          <w:rFonts w:ascii="Arial" w:eastAsia="Calibri" w:hAnsi="Arial" w:cs="Arial"/>
          <w:noProof/>
          <w:sz w:val="18"/>
          <w:szCs w:val="18"/>
        </w:rPr>
      </w:pPr>
      <w:r w:rsidRPr="002A6FA3">
        <w:rPr>
          <w:rFonts w:ascii="Arial" w:eastAsia="Calibri" w:hAnsi="Arial" w:cs="Arial"/>
          <w:noProof/>
          <w:sz w:val="18"/>
          <w:szCs w:val="18"/>
        </w:rPr>
        <w:t>Specialistka PR a externí komunikace</w:t>
      </w:r>
    </w:p>
    <w:p w14:paraId="0C220C49" w14:textId="77777777" w:rsidR="0031712D" w:rsidRPr="0056501A" w:rsidRDefault="0031712D" w:rsidP="0031712D">
      <w:pPr>
        <w:rPr>
          <w:rFonts w:ascii="Arial" w:eastAsia="Calibri" w:hAnsi="Arial" w:cs="Arial"/>
          <w:bCs/>
          <w:noProof/>
          <w:sz w:val="18"/>
          <w:szCs w:val="18"/>
        </w:rPr>
      </w:pPr>
      <w:r w:rsidRPr="0056501A">
        <w:rPr>
          <w:rFonts w:ascii="Arial" w:eastAsia="Calibri" w:hAnsi="Arial" w:cs="Arial"/>
          <w:bCs/>
          <w:noProof/>
          <w:sz w:val="18"/>
          <w:szCs w:val="18"/>
        </w:rPr>
        <w:t>Broker Consulting, a.s.,</w:t>
      </w:r>
    </w:p>
    <w:p w14:paraId="113E0997" w14:textId="77777777" w:rsidR="0031712D" w:rsidRPr="002A6FA3" w:rsidRDefault="0031712D" w:rsidP="0031712D">
      <w:pPr>
        <w:rPr>
          <w:rFonts w:ascii="Arial" w:eastAsia="Calibri" w:hAnsi="Arial" w:cs="Arial"/>
          <w:noProof/>
          <w:sz w:val="18"/>
          <w:szCs w:val="18"/>
        </w:rPr>
      </w:pPr>
      <w:r w:rsidRPr="002A6FA3">
        <w:rPr>
          <w:rFonts w:ascii="Arial" w:eastAsia="Calibri" w:hAnsi="Arial" w:cs="Arial"/>
          <w:noProof/>
          <w:sz w:val="18"/>
          <w:szCs w:val="18"/>
        </w:rPr>
        <w:t>Office Park Nové Butovice (Budova B)</w:t>
      </w:r>
      <w:r w:rsidRPr="002A6FA3">
        <w:rPr>
          <w:rFonts w:ascii="Arial" w:eastAsia="Calibri" w:hAnsi="Arial" w:cs="Arial"/>
          <w:noProof/>
          <w:sz w:val="18"/>
          <w:szCs w:val="18"/>
        </w:rPr>
        <w:br/>
        <w:t>Bucharova 1423/6, 158 00 Praha 5</w:t>
      </w:r>
    </w:p>
    <w:p w14:paraId="14029AC2" w14:textId="77777777" w:rsidR="0031712D" w:rsidRPr="002A6FA3" w:rsidRDefault="0031712D" w:rsidP="0031712D">
      <w:pPr>
        <w:rPr>
          <w:rFonts w:ascii="Arial" w:eastAsia="Calibri" w:hAnsi="Arial" w:cs="Arial"/>
          <w:noProof/>
          <w:sz w:val="18"/>
          <w:szCs w:val="18"/>
        </w:rPr>
      </w:pPr>
      <w:r w:rsidRPr="002A6FA3">
        <w:rPr>
          <w:rFonts w:ascii="Arial" w:eastAsia="Calibri" w:hAnsi="Arial" w:cs="Arial"/>
          <w:noProof/>
          <w:sz w:val="18"/>
          <w:szCs w:val="18"/>
        </w:rPr>
        <w:t>mobil: +420 731 537 716</w:t>
      </w:r>
    </w:p>
    <w:p w14:paraId="42F7C118" w14:textId="77777777" w:rsidR="0031712D" w:rsidRPr="002A6FA3" w:rsidRDefault="0031712D" w:rsidP="0031712D">
      <w:pPr>
        <w:rPr>
          <w:rFonts w:ascii="Arial" w:eastAsia="Calibri" w:hAnsi="Arial" w:cs="Arial"/>
          <w:noProof/>
          <w:sz w:val="18"/>
          <w:szCs w:val="18"/>
        </w:rPr>
      </w:pPr>
      <w:r w:rsidRPr="002A6FA3">
        <w:rPr>
          <w:rFonts w:ascii="Arial" w:eastAsia="Calibri" w:hAnsi="Arial" w:cs="Arial"/>
          <w:noProof/>
          <w:sz w:val="18"/>
          <w:szCs w:val="18"/>
        </w:rPr>
        <w:t xml:space="preserve">e-mail: </w:t>
      </w:r>
      <w:hyperlink r:id="rId25" w:history="1">
        <w:r w:rsidRPr="002A6FA3">
          <w:rPr>
            <w:rStyle w:val="Hypertextovodkaz"/>
            <w:rFonts w:ascii="Arial" w:eastAsia="Calibri" w:hAnsi="Arial" w:cs="Arial"/>
            <w:noProof/>
            <w:sz w:val="18"/>
            <w:szCs w:val="18"/>
          </w:rPr>
          <w:t>tereza.kunova@bcas.cz</w:t>
        </w:r>
      </w:hyperlink>
      <w:r w:rsidRPr="002A6FA3">
        <w:rPr>
          <w:rFonts w:ascii="Arial" w:eastAsia="Calibri" w:hAnsi="Arial" w:cs="Arial"/>
          <w:noProof/>
          <w:sz w:val="18"/>
          <w:szCs w:val="18"/>
        </w:rPr>
        <w:t xml:space="preserve"> </w:t>
      </w:r>
    </w:p>
    <w:p w14:paraId="35B78D89" w14:textId="77777777" w:rsidR="0031712D" w:rsidRPr="009F59EE" w:rsidRDefault="0031712D" w:rsidP="0031712D">
      <w:pPr>
        <w:jc w:val="both"/>
        <w:rPr>
          <w:sz w:val="20"/>
        </w:rPr>
      </w:pPr>
    </w:p>
    <w:p w14:paraId="35F81D03" w14:textId="77777777" w:rsidR="0031712D" w:rsidRDefault="0031712D" w:rsidP="00F5432C">
      <w:pPr>
        <w:jc w:val="both"/>
        <w:rPr>
          <w:rFonts w:ascii="Arial" w:hAnsi="Arial" w:cs="Arial"/>
          <w:b/>
          <w:bCs/>
          <w:color w:val="FF0000"/>
          <w:sz w:val="20"/>
          <w:szCs w:val="20"/>
        </w:rPr>
      </w:pPr>
    </w:p>
    <w:p w14:paraId="703D546A" w14:textId="77777777" w:rsidR="002A6FA3" w:rsidRDefault="002A6FA3" w:rsidP="00A712B2">
      <w:pPr>
        <w:jc w:val="both"/>
        <w:rPr>
          <w:rFonts w:ascii="Arial" w:hAnsi="Arial" w:cs="Arial"/>
          <w:sz w:val="20"/>
          <w:szCs w:val="20"/>
        </w:rPr>
      </w:pPr>
    </w:p>
    <w:sectPr w:rsidR="002A6FA3"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37ECE1" w14:textId="77777777" w:rsidR="00BA35C9" w:rsidRDefault="00BA35C9">
      <w:r>
        <w:separator/>
      </w:r>
    </w:p>
  </w:endnote>
  <w:endnote w:type="continuationSeparator" w:id="0">
    <w:p w14:paraId="7724656F" w14:textId="77777777" w:rsidR="00BA35C9" w:rsidRDefault="00BA35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BA35C9"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170D87"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BA35C9"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170D87"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BA35C9"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170D87"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9DE6F7" w14:textId="77777777" w:rsidR="00BA35C9" w:rsidRDefault="00BA35C9">
      <w:r>
        <w:separator/>
      </w:r>
    </w:p>
  </w:footnote>
  <w:footnote w:type="continuationSeparator" w:id="0">
    <w:p w14:paraId="7259F745" w14:textId="77777777" w:rsidR="00BA35C9" w:rsidRDefault="00BA35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2ECB10A3" w:rsidR="00B65A3B" w:rsidRDefault="00B65A3B" w:rsidP="00B65A3B">
    <w:pPr>
      <w:spacing w:before="85"/>
      <w:ind w:left="1440" w:firstLine="720"/>
      <w:rPr>
        <w:rFonts w:ascii="Arial" w:hAnsi="Arial" w:cs="Arial"/>
        <w:color w:val="E52713"/>
        <w:sz w:val="28"/>
        <w:szCs w:val="28"/>
      </w:rPr>
    </w:pPr>
    <w:r w:rsidRPr="00B65A3B">
      <w:rPr>
        <w:rFonts w:ascii="Arial" w:hAnsi="Arial" w:cs="Arial"/>
        <w:color w:val="E52713"/>
        <w:sz w:val="28"/>
        <w:szCs w:val="28"/>
      </w:rPr>
      <w:t>INDEX SPOTŘEBITELSKÝCH ÚVĚRŮ</w:t>
    </w:r>
  </w:p>
  <w:p w14:paraId="3F4A0BE4" w14:textId="77777777" w:rsidR="00480982" w:rsidRPr="00B65A3B" w:rsidRDefault="00480982" w:rsidP="00B65A3B">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7E7A6A13"/>
    <w:multiLevelType w:val="hybridMultilevel"/>
    <w:tmpl w:val="5456E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1489"/>
    <w:rsid w:val="00017A80"/>
    <w:rsid w:val="00020EC7"/>
    <w:rsid w:val="00022715"/>
    <w:rsid w:val="00024AC6"/>
    <w:rsid w:val="00026F23"/>
    <w:rsid w:val="000277AC"/>
    <w:rsid w:val="00032D94"/>
    <w:rsid w:val="000374D7"/>
    <w:rsid w:val="000400E4"/>
    <w:rsid w:val="00045B39"/>
    <w:rsid w:val="0005423A"/>
    <w:rsid w:val="000611E3"/>
    <w:rsid w:val="000766E7"/>
    <w:rsid w:val="00081616"/>
    <w:rsid w:val="000853D4"/>
    <w:rsid w:val="0009776B"/>
    <w:rsid w:val="000B0D84"/>
    <w:rsid w:val="000B2F39"/>
    <w:rsid w:val="000B5339"/>
    <w:rsid w:val="000C1853"/>
    <w:rsid w:val="000C4C77"/>
    <w:rsid w:val="000D14E2"/>
    <w:rsid w:val="000D7A4D"/>
    <w:rsid w:val="000E3D86"/>
    <w:rsid w:val="000F1EC4"/>
    <w:rsid w:val="000F6249"/>
    <w:rsid w:val="001069A1"/>
    <w:rsid w:val="00111C28"/>
    <w:rsid w:val="00112079"/>
    <w:rsid w:val="00114F7B"/>
    <w:rsid w:val="00123939"/>
    <w:rsid w:val="0013044E"/>
    <w:rsid w:val="00131A69"/>
    <w:rsid w:val="00137003"/>
    <w:rsid w:val="0013717C"/>
    <w:rsid w:val="00143EFE"/>
    <w:rsid w:val="00156082"/>
    <w:rsid w:val="00161D10"/>
    <w:rsid w:val="001675AF"/>
    <w:rsid w:val="00170556"/>
    <w:rsid w:val="00170D87"/>
    <w:rsid w:val="001767A5"/>
    <w:rsid w:val="00180051"/>
    <w:rsid w:val="00191B34"/>
    <w:rsid w:val="00192716"/>
    <w:rsid w:val="00192C2A"/>
    <w:rsid w:val="00193550"/>
    <w:rsid w:val="00194C95"/>
    <w:rsid w:val="001A54DD"/>
    <w:rsid w:val="001B501B"/>
    <w:rsid w:val="001D015A"/>
    <w:rsid w:val="001D3DFC"/>
    <w:rsid w:val="001D4EA8"/>
    <w:rsid w:val="001E22F1"/>
    <w:rsid w:val="001E3FBF"/>
    <w:rsid w:val="001E4209"/>
    <w:rsid w:val="001F25C4"/>
    <w:rsid w:val="001F2BE0"/>
    <w:rsid w:val="001F3CF1"/>
    <w:rsid w:val="001F7194"/>
    <w:rsid w:val="001F71BA"/>
    <w:rsid w:val="00200B65"/>
    <w:rsid w:val="002141AF"/>
    <w:rsid w:val="0023469F"/>
    <w:rsid w:val="002368F3"/>
    <w:rsid w:val="002404A1"/>
    <w:rsid w:val="00241313"/>
    <w:rsid w:val="00242D4D"/>
    <w:rsid w:val="0024551C"/>
    <w:rsid w:val="0025264B"/>
    <w:rsid w:val="0025428A"/>
    <w:rsid w:val="00255182"/>
    <w:rsid w:val="00263C8C"/>
    <w:rsid w:val="002645E4"/>
    <w:rsid w:val="00270DB3"/>
    <w:rsid w:val="002A3F19"/>
    <w:rsid w:val="002A6FA3"/>
    <w:rsid w:val="002A7325"/>
    <w:rsid w:val="002C0240"/>
    <w:rsid w:val="002C4A25"/>
    <w:rsid w:val="002D1619"/>
    <w:rsid w:val="002E633F"/>
    <w:rsid w:val="002F002B"/>
    <w:rsid w:val="002F485A"/>
    <w:rsid w:val="002F7EC2"/>
    <w:rsid w:val="003028DB"/>
    <w:rsid w:val="00306FE1"/>
    <w:rsid w:val="00307E95"/>
    <w:rsid w:val="00310BEB"/>
    <w:rsid w:val="0031287A"/>
    <w:rsid w:val="003128F8"/>
    <w:rsid w:val="0031712D"/>
    <w:rsid w:val="00320455"/>
    <w:rsid w:val="00321E19"/>
    <w:rsid w:val="003247B0"/>
    <w:rsid w:val="00330918"/>
    <w:rsid w:val="0034184F"/>
    <w:rsid w:val="00342F85"/>
    <w:rsid w:val="00347557"/>
    <w:rsid w:val="00355366"/>
    <w:rsid w:val="00356752"/>
    <w:rsid w:val="003629B6"/>
    <w:rsid w:val="00370C35"/>
    <w:rsid w:val="003721AD"/>
    <w:rsid w:val="0037300C"/>
    <w:rsid w:val="00383DC5"/>
    <w:rsid w:val="00385EED"/>
    <w:rsid w:val="00390B58"/>
    <w:rsid w:val="00392024"/>
    <w:rsid w:val="003A1549"/>
    <w:rsid w:val="003A2887"/>
    <w:rsid w:val="003A375A"/>
    <w:rsid w:val="003A43AB"/>
    <w:rsid w:val="003A6435"/>
    <w:rsid w:val="003B0E4F"/>
    <w:rsid w:val="003C0CBE"/>
    <w:rsid w:val="003C5664"/>
    <w:rsid w:val="003C7F98"/>
    <w:rsid w:val="003D1987"/>
    <w:rsid w:val="003F324C"/>
    <w:rsid w:val="003F7018"/>
    <w:rsid w:val="003F79EC"/>
    <w:rsid w:val="004041EF"/>
    <w:rsid w:val="004075C9"/>
    <w:rsid w:val="004116FD"/>
    <w:rsid w:val="0042193A"/>
    <w:rsid w:val="00435342"/>
    <w:rsid w:val="00445D0A"/>
    <w:rsid w:val="00454843"/>
    <w:rsid w:val="004556BB"/>
    <w:rsid w:val="00457FFE"/>
    <w:rsid w:val="00460FA7"/>
    <w:rsid w:val="00461BF2"/>
    <w:rsid w:val="004627B9"/>
    <w:rsid w:val="004678E9"/>
    <w:rsid w:val="00473E24"/>
    <w:rsid w:val="00480982"/>
    <w:rsid w:val="00486655"/>
    <w:rsid w:val="004B2DF6"/>
    <w:rsid w:val="004B5797"/>
    <w:rsid w:val="004C222D"/>
    <w:rsid w:val="004C3F71"/>
    <w:rsid w:val="004D5CC6"/>
    <w:rsid w:val="004F6195"/>
    <w:rsid w:val="0050659B"/>
    <w:rsid w:val="005153F7"/>
    <w:rsid w:val="00515952"/>
    <w:rsid w:val="005224C1"/>
    <w:rsid w:val="0053153F"/>
    <w:rsid w:val="00531C9F"/>
    <w:rsid w:val="005361AF"/>
    <w:rsid w:val="00536954"/>
    <w:rsid w:val="00540606"/>
    <w:rsid w:val="00541870"/>
    <w:rsid w:val="005436EC"/>
    <w:rsid w:val="00544A37"/>
    <w:rsid w:val="00545971"/>
    <w:rsid w:val="00554D18"/>
    <w:rsid w:val="0056501A"/>
    <w:rsid w:val="00573886"/>
    <w:rsid w:val="00577D19"/>
    <w:rsid w:val="005907CD"/>
    <w:rsid w:val="005A37E5"/>
    <w:rsid w:val="005A4EB8"/>
    <w:rsid w:val="005A5BBA"/>
    <w:rsid w:val="005A5F08"/>
    <w:rsid w:val="005B31D7"/>
    <w:rsid w:val="005C150C"/>
    <w:rsid w:val="005D52F3"/>
    <w:rsid w:val="006135FD"/>
    <w:rsid w:val="006166CE"/>
    <w:rsid w:val="006218E4"/>
    <w:rsid w:val="0062747C"/>
    <w:rsid w:val="0064160C"/>
    <w:rsid w:val="006509E8"/>
    <w:rsid w:val="0066135D"/>
    <w:rsid w:val="00664867"/>
    <w:rsid w:val="00667012"/>
    <w:rsid w:val="006768F0"/>
    <w:rsid w:val="00677078"/>
    <w:rsid w:val="00682D62"/>
    <w:rsid w:val="00683F9A"/>
    <w:rsid w:val="006859AC"/>
    <w:rsid w:val="0068617E"/>
    <w:rsid w:val="006902C0"/>
    <w:rsid w:val="00690415"/>
    <w:rsid w:val="00691527"/>
    <w:rsid w:val="006939E7"/>
    <w:rsid w:val="006A2F6C"/>
    <w:rsid w:val="006A3BE2"/>
    <w:rsid w:val="006C5ED3"/>
    <w:rsid w:val="006C61E8"/>
    <w:rsid w:val="006D65EC"/>
    <w:rsid w:val="006E26DC"/>
    <w:rsid w:val="006E6A2F"/>
    <w:rsid w:val="006F32FB"/>
    <w:rsid w:val="007052FC"/>
    <w:rsid w:val="00705D83"/>
    <w:rsid w:val="00710E0C"/>
    <w:rsid w:val="0072112F"/>
    <w:rsid w:val="00724267"/>
    <w:rsid w:val="00725BF5"/>
    <w:rsid w:val="00743627"/>
    <w:rsid w:val="00743E6A"/>
    <w:rsid w:val="0076280C"/>
    <w:rsid w:val="0076667F"/>
    <w:rsid w:val="00771B91"/>
    <w:rsid w:val="007725B8"/>
    <w:rsid w:val="00772FF0"/>
    <w:rsid w:val="007815BB"/>
    <w:rsid w:val="007824F4"/>
    <w:rsid w:val="00784109"/>
    <w:rsid w:val="00785FC5"/>
    <w:rsid w:val="0078631B"/>
    <w:rsid w:val="00791A2B"/>
    <w:rsid w:val="00792EE9"/>
    <w:rsid w:val="0079572A"/>
    <w:rsid w:val="007969EF"/>
    <w:rsid w:val="007A1121"/>
    <w:rsid w:val="007A1122"/>
    <w:rsid w:val="007A15A6"/>
    <w:rsid w:val="007A7C7B"/>
    <w:rsid w:val="007B152D"/>
    <w:rsid w:val="007B358E"/>
    <w:rsid w:val="007D14AE"/>
    <w:rsid w:val="007E5614"/>
    <w:rsid w:val="007F2DE8"/>
    <w:rsid w:val="007F4493"/>
    <w:rsid w:val="0080323F"/>
    <w:rsid w:val="0081387C"/>
    <w:rsid w:val="0083053E"/>
    <w:rsid w:val="00831B5E"/>
    <w:rsid w:val="00832F5B"/>
    <w:rsid w:val="00841AC4"/>
    <w:rsid w:val="00845A34"/>
    <w:rsid w:val="00856D3C"/>
    <w:rsid w:val="00860609"/>
    <w:rsid w:val="00874C1A"/>
    <w:rsid w:val="00883A3E"/>
    <w:rsid w:val="0088579E"/>
    <w:rsid w:val="00885B2F"/>
    <w:rsid w:val="00891E25"/>
    <w:rsid w:val="008926E5"/>
    <w:rsid w:val="008926F3"/>
    <w:rsid w:val="008A04D3"/>
    <w:rsid w:val="008C1795"/>
    <w:rsid w:val="008C2254"/>
    <w:rsid w:val="008C3938"/>
    <w:rsid w:val="008C4B0D"/>
    <w:rsid w:val="008E1286"/>
    <w:rsid w:val="008E19F3"/>
    <w:rsid w:val="008F6AAF"/>
    <w:rsid w:val="00906E67"/>
    <w:rsid w:val="00915ADA"/>
    <w:rsid w:val="0092097A"/>
    <w:rsid w:val="009222C9"/>
    <w:rsid w:val="00932625"/>
    <w:rsid w:val="009344C2"/>
    <w:rsid w:val="0094705C"/>
    <w:rsid w:val="00957B41"/>
    <w:rsid w:val="009631E0"/>
    <w:rsid w:val="009A52BA"/>
    <w:rsid w:val="009A69B1"/>
    <w:rsid w:val="009A700C"/>
    <w:rsid w:val="009C0ECA"/>
    <w:rsid w:val="009C45BA"/>
    <w:rsid w:val="009D7493"/>
    <w:rsid w:val="009E317D"/>
    <w:rsid w:val="009E31C0"/>
    <w:rsid w:val="009E3B52"/>
    <w:rsid w:val="009F2CB2"/>
    <w:rsid w:val="009F59EE"/>
    <w:rsid w:val="00A069E2"/>
    <w:rsid w:val="00A07639"/>
    <w:rsid w:val="00A10289"/>
    <w:rsid w:val="00A11C90"/>
    <w:rsid w:val="00A1395B"/>
    <w:rsid w:val="00A16E82"/>
    <w:rsid w:val="00A252BA"/>
    <w:rsid w:val="00A27A7B"/>
    <w:rsid w:val="00A36D79"/>
    <w:rsid w:val="00A41EA4"/>
    <w:rsid w:val="00A44FE0"/>
    <w:rsid w:val="00A4618A"/>
    <w:rsid w:val="00A712B2"/>
    <w:rsid w:val="00A7796E"/>
    <w:rsid w:val="00AA0920"/>
    <w:rsid w:val="00AA6E6D"/>
    <w:rsid w:val="00AA79D9"/>
    <w:rsid w:val="00AB50FF"/>
    <w:rsid w:val="00AC4BEC"/>
    <w:rsid w:val="00AC614D"/>
    <w:rsid w:val="00AD1F39"/>
    <w:rsid w:val="00AF042F"/>
    <w:rsid w:val="00B11974"/>
    <w:rsid w:val="00B12CF8"/>
    <w:rsid w:val="00B244B9"/>
    <w:rsid w:val="00B24559"/>
    <w:rsid w:val="00B27178"/>
    <w:rsid w:val="00B310C3"/>
    <w:rsid w:val="00B42229"/>
    <w:rsid w:val="00B43ABC"/>
    <w:rsid w:val="00B51125"/>
    <w:rsid w:val="00B52CDF"/>
    <w:rsid w:val="00B60D60"/>
    <w:rsid w:val="00B65687"/>
    <w:rsid w:val="00B65A3B"/>
    <w:rsid w:val="00B67AF0"/>
    <w:rsid w:val="00B83D7B"/>
    <w:rsid w:val="00B91131"/>
    <w:rsid w:val="00B94E88"/>
    <w:rsid w:val="00B95BB2"/>
    <w:rsid w:val="00B95EBA"/>
    <w:rsid w:val="00BA04AB"/>
    <w:rsid w:val="00BA23D8"/>
    <w:rsid w:val="00BA35C9"/>
    <w:rsid w:val="00BB4D49"/>
    <w:rsid w:val="00BB6439"/>
    <w:rsid w:val="00BB675F"/>
    <w:rsid w:val="00BC3E08"/>
    <w:rsid w:val="00BD17B0"/>
    <w:rsid w:val="00BD5A47"/>
    <w:rsid w:val="00BD5FB6"/>
    <w:rsid w:val="00BE2BCC"/>
    <w:rsid w:val="00BE3896"/>
    <w:rsid w:val="00C03192"/>
    <w:rsid w:val="00C23E32"/>
    <w:rsid w:val="00C251C4"/>
    <w:rsid w:val="00C314C1"/>
    <w:rsid w:val="00C31917"/>
    <w:rsid w:val="00C40571"/>
    <w:rsid w:val="00C427DA"/>
    <w:rsid w:val="00C42FAF"/>
    <w:rsid w:val="00C863A3"/>
    <w:rsid w:val="00C864DC"/>
    <w:rsid w:val="00C94EEA"/>
    <w:rsid w:val="00CA1722"/>
    <w:rsid w:val="00CA7673"/>
    <w:rsid w:val="00CB1227"/>
    <w:rsid w:val="00CB1255"/>
    <w:rsid w:val="00CB18B1"/>
    <w:rsid w:val="00CB38CA"/>
    <w:rsid w:val="00CB66A2"/>
    <w:rsid w:val="00CB6F2B"/>
    <w:rsid w:val="00CC1067"/>
    <w:rsid w:val="00CC2EC2"/>
    <w:rsid w:val="00CD3324"/>
    <w:rsid w:val="00CD6162"/>
    <w:rsid w:val="00CE6C6E"/>
    <w:rsid w:val="00D01832"/>
    <w:rsid w:val="00D04527"/>
    <w:rsid w:val="00D21C96"/>
    <w:rsid w:val="00D30854"/>
    <w:rsid w:val="00D31127"/>
    <w:rsid w:val="00D366B5"/>
    <w:rsid w:val="00D4052C"/>
    <w:rsid w:val="00D4539F"/>
    <w:rsid w:val="00D472C6"/>
    <w:rsid w:val="00D6041B"/>
    <w:rsid w:val="00D60D98"/>
    <w:rsid w:val="00D61018"/>
    <w:rsid w:val="00D80B6D"/>
    <w:rsid w:val="00D80CAD"/>
    <w:rsid w:val="00D8513A"/>
    <w:rsid w:val="00D85BBB"/>
    <w:rsid w:val="00D90628"/>
    <w:rsid w:val="00D92D49"/>
    <w:rsid w:val="00D930E7"/>
    <w:rsid w:val="00D93D7A"/>
    <w:rsid w:val="00D9690A"/>
    <w:rsid w:val="00DA08E6"/>
    <w:rsid w:val="00DA50BA"/>
    <w:rsid w:val="00DA7B87"/>
    <w:rsid w:val="00DB63D9"/>
    <w:rsid w:val="00DB7E77"/>
    <w:rsid w:val="00DC30D0"/>
    <w:rsid w:val="00DD7FC1"/>
    <w:rsid w:val="00DF020C"/>
    <w:rsid w:val="00DF7D1B"/>
    <w:rsid w:val="00E00DC6"/>
    <w:rsid w:val="00E01A0A"/>
    <w:rsid w:val="00E058A3"/>
    <w:rsid w:val="00E11439"/>
    <w:rsid w:val="00E151F3"/>
    <w:rsid w:val="00E161C6"/>
    <w:rsid w:val="00E17539"/>
    <w:rsid w:val="00E26CF0"/>
    <w:rsid w:val="00E31346"/>
    <w:rsid w:val="00E376F8"/>
    <w:rsid w:val="00E40550"/>
    <w:rsid w:val="00E43F59"/>
    <w:rsid w:val="00E57F9B"/>
    <w:rsid w:val="00E6726D"/>
    <w:rsid w:val="00E81433"/>
    <w:rsid w:val="00E81C95"/>
    <w:rsid w:val="00E852A3"/>
    <w:rsid w:val="00E93958"/>
    <w:rsid w:val="00EA01CC"/>
    <w:rsid w:val="00EA0C1C"/>
    <w:rsid w:val="00EA3819"/>
    <w:rsid w:val="00EA477A"/>
    <w:rsid w:val="00EB4785"/>
    <w:rsid w:val="00EB716B"/>
    <w:rsid w:val="00EC7F0E"/>
    <w:rsid w:val="00ED2D1F"/>
    <w:rsid w:val="00ED58E9"/>
    <w:rsid w:val="00ED79D6"/>
    <w:rsid w:val="00EE1831"/>
    <w:rsid w:val="00EE6922"/>
    <w:rsid w:val="00EF18D9"/>
    <w:rsid w:val="00EF1AE7"/>
    <w:rsid w:val="00EF2F7C"/>
    <w:rsid w:val="00F01BFC"/>
    <w:rsid w:val="00F101B3"/>
    <w:rsid w:val="00F13FDA"/>
    <w:rsid w:val="00F14982"/>
    <w:rsid w:val="00F20D55"/>
    <w:rsid w:val="00F250B8"/>
    <w:rsid w:val="00F2598D"/>
    <w:rsid w:val="00F31B7E"/>
    <w:rsid w:val="00F336A2"/>
    <w:rsid w:val="00F4229F"/>
    <w:rsid w:val="00F44AEB"/>
    <w:rsid w:val="00F45620"/>
    <w:rsid w:val="00F51B95"/>
    <w:rsid w:val="00F5432C"/>
    <w:rsid w:val="00F5470D"/>
    <w:rsid w:val="00F77D7D"/>
    <w:rsid w:val="00F82DDB"/>
    <w:rsid w:val="00F83CDB"/>
    <w:rsid w:val="00F9173C"/>
    <w:rsid w:val="00FA1C73"/>
    <w:rsid w:val="00FB18D0"/>
    <w:rsid w:val="00FB2ED6"/>
    <w:rsid w:val="00FB53F1"/>
    <w:rsid w:val="00FC23FE"/>
    <w:rsid w:val="00FC2522"/>
    <w:rsid w:val="00FC5B56"/>
    <w:rsid w:val="00FD4B12"/>
    <w:rsid w:val="00FE10BB"/>
    <w:rsid w:val="00FE3038"/>
    <w:rsid w:val="00FE431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34"/>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627811939">
      <w:bodyDiv w:val="1"/>
      <w:marLeft w:val="0"/>
      <w:marRight w:val="0"/>
      <w:marTop w:val="0"/>
      <w:marBottom w:val="0"/>
      <w:divBdr>
        <w:top w:val="none" w:sz="0" w:space="0" w:color="auto"/>
        <w:left w:val="none" w:sz="0" w:space="0" w:color="auto"/>
        <w:bottom w:val="none" w:sz="0" w:space="0" w:color="auto"/>
        <w:right w:val="none" w:sz="0" w:space="0" w:color="auto"/>
      </w:divBdr>
    </w:div>
    <w:div w:id="1638217657">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hyperlink" Target="mailto:tereza.kunova@bcas.cz"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4.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FD1871-DD2B-4176-9FBA-AF8E7A41F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1264</TotalTime>
  <Pages>1</Pages>
  <Words>885</Words>
  <Characters>5226</Characters>
  <Application>Microsoft Office Word</Application>
  <DocSecurity>0</DocSecurity>
  <Lines>43</Lines>
  <Paragraphs>12</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Viola Baštýřová</dc:creator>
  <cp:lastModifiedBy>Tereza Kunová</cp:lastModifiedBy>
  <cp:revision>83</cp:revision>
  <dcterms:created xsi:type="dcterms:W3CDTF">2021-05-26T15:36:00Z</dcterms:created>
  <dcterms:modified xsi:type="dcterms:W3CDTF">2021-12-29T09:04:00Z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