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14DBE9" w14:textId="6E0639B0" w:rsidR="00677C07" w:rsidRDefault="00677C07">
      <w:pPr>
        <w:rPr>
          <w:highlight w:val="yellow"/>
        </w:rPr>
      </w:pPr>
    </w:p>
    <w:sdt>
      <w:sdtPr>
        <w:rPr>
          <w:highlight w:val="yellow"/>
        </w:rPr>
        <w:id w:val="120037484"/>
        <w:docPartObj>
          <w:docPartGallery w:val="Cover Pages"/>
          <w:docPartUnique/>
        </w:docPartObj>
      </w:sdtPr>
      <w:sdtEndPr>
        <w:rPr>
          <w:rFonts w:ascii="Arial" w:hAnsi="Arial" w:cs="Arial"/>
          <w:b/>
          <w:sz w:val="20"/>
          <w:szCs w:val="20"/>
        </w:rPr>
      </w:sdtEndPr>
      <w:sdtContent>
        <w:p w14:paraId="718E6546" w14:textId="121A6802" w:rsidR="00D80B6D" w:rsidRPr="00D84B7D" w:rsidRDefault="00D80B6D">
          <w:pPr>
            <w:rPr>
              <w:highlight w:val="yellow"/>
            </w:rPr>
          </w:pPr>
        </w:p>
        <w:p w14:paraId="7ED014A1" w14:textId="77777777" w:rsidR="00D80B6D" w:rsidRPr="00D84B7D" w:rsidRDefault="00D80B6D" w:rsidP="00D80B6D">
          <w:pPr>
            <w:pStyle w:val="Nadpis3"/>
            <w:spacing w:before="10"/>
            <w:rPr>
              <w:rFonts w:ascii="Arial" w:hAnsi="Arial" w:cs="Arial"/>
              <w:highlight w:val="yellow"/>
            </w:rPr>
          </w:pPr>
        </w:p>
        <w:p w14:paraId="0FB45B67" w14:textId="77777777" w:rsidR="00D80B6D" w:rsidRPr="00D84B7D" w:rsidRDefault="00D80B6D" w:rsidP="00D80B6D">
          <w:pPr>
            <w:spacing w:before="230"/>
            <w:ind w:left="165"/>
            <w:jc w:val="center"/>
            <w:rPr>
              <w:rFonts w:ascii="Arial" w:hAnsi="Arial" w:cs="Arial"/>
              <w:sz w:val="24"/>
            </w:rPr>
          </w:pPr>
          <w:r w:rsidRPr="00D84B7D">
            <w:rPr>
              <w:rFonts w:ascii="Arial" w:hAnsi="Arial" w:cs="Arial"/>
              <w:b/>
              <w:sz w:val="24"/>
            </w:rPr>
            <w:t>INDEX HYPOTEČNÍCH ÚVĚRŮ</w:t>
          </w:r>
          <w:r w:rsidRPr="00D84B7D">
            <w:rPr>
              <w:rFonts w:ascii="Arial" w:hAnsi="Arial" w:cs="Arial"/>
              <w:sz w:val="24"/>
            </w:rPr>
            <w:t xml:space="preserve"> | </w:t>
          </w:r>
          <w:r w:rsidRPr="00D40C89">
            <w:rPr>
              <w:rFonts w:ascii="Arial" w:hAnsi="Arial" w:cs="Arial"/>
              <w:b/>
              <w:sz w:val="24"/>
            </w:rPr>
            <w:t xml:space="preserve">FIXINDEX </w:t>
          </w:r>
        </w:p>
        <w:p w14:paraId="03C4DE47" w14:textId="26FAE45C" w:rsidR="0009776B" w:rsidRPr="00D84B7D" w:rsidRDefault="00D80B6D" w:rsidP="005F65A1">
          <w:pPr>
            <w:spacing w:before="230"/>
            <w:ind w:left="165"/>
            <w:jc w:val="center"/>
            <w:rPr>
              <w:rFonts w:ascii="Arial" w:hAnsi="Arial" w:cs="Arial"/>
              <w:sz w:val="24"/>
            </w:rPr>
          </w:pPr>
          <w:r w:rsidRPr="00D84B7D">
            <w:rPr>
              <w:rFonts w:ascii="Arial" w:hAnsi="Arial" w:cs="Arial"/>
              <w:sz w:val="24"/>
            </w:rPr>
            <w:t xml:space="preserve">INDEX PODÍLOVÝCH FONDŮ </w:t>
          </w:r>
        </w:p>
        <w:p w14:paraId="32900BCE" w14:textId="5904F9FC" w:rsidR="00D80B6D" w:rsidRPr="00D84B7D" w:rsidRDefault="00D80B6D" w:rsidP="00D80B6D">
          <w:pPr>
            <w:spacing w:before="230"/>
            <w:ind w:left="165"/>
            <w:jc w:val="center"/>
            <w:rPr>
              <w:rFonts w:ascii="Arial" w:hAnsi="Arial" w:cs="Arial"/>
              <w:sz w:val="24"/>
            </w:rPr>
          </w:pPr>
          <w:r w:rsidRPr="00D84B7D">
            <w:rPr>
              <w:rFonts w:ascii="Arial" w:hAnsi="Arial" w:cs="Arial"/>
              <w:sz w:val="24"/>
            </w:rPr>
            <w:t>P</w:t>
          </w:r>
          <w:r w:rsidR="005F65A1" w:rsidRPr="00D84B7D">
            <w:rPr>
              <w:rFonts w:ascii="Arial" w:hAnsi="Arial" w:cs="Arial"/>
              <w:sz w:val="24"/>
            </w:rPr>
            <w:t>OV</w:t>
          </w:r>
          <w:r w:rsidRPr="00D84B7D">
            <w:rPr>
              <w:rFonts w:ascii="Arial" w:hAnsi="Arial" w:cs="Arial"/>
              <w:sz w:val="24"/>
            </w:rPr>
            <w:t xml:space="preserve">INDEX </w:t>
          </w:r>
        </w:p>
        <w:p w14:paraId="5B21B8A6" w14:textId="77777777" w:rsidR="00D80B6D" w:rsidRPr="00D84B7D" w:rsidRDefault="00D80B6D" w:rsidP="00D80B6D">
          <w:pPr>
            <w:spacing w:before="230"/>
            <w:ind w:left="165"/>
            <w:jc w:val="center"/>
            <w:rPr>
              <w:rFonts w:ascii="Arial" w:hAnsi="Arial" w:cs="Arial"/>
              <w:sz w:val="24"/>
            </w:rPr>
          </w:pPr>
          <w:r w:rsidRPr="00D84B7D">
            <w:rPr>
              <w:rFonts w:ascii="Arial" w:hAnsi="Arial" w:cs="Arial"/>
              <w:sz w:val="24"/>
            </w:rPr>
            <w:t xml:space="preserve">INDEX SPOTŘEBITELSKÝCH ÚVĚRŮ  </w:t>
          </w:r>
        </w:p>
        <w:p w14:paraId="720CCDBB" w14:textId="77777777" w:rsidR="00D80B6D" w:rsidRPr="00D84B7D" w:rsidRDefault="00D80B6D" w:rsidP="00D80B6D">
          <w:pPr>
            <w:pStyle w:val="Zkladntext"/>
            <w:spacing w:before="240"/>
            <w:rPr>
              <w:sz w:val="20"/>
              <w:highlight w:val="yellow"/>
            </w:rPr>
          </w:pPr>
        </w:p>
        <w:p w14:paraId="703D71F2" w14:textId="77777777" w:rsidR="00D80B6D" w:rsidRPr="00D84B7D" w:rsidRDefault="00D80B6D" w:rsidP="00D80B6D">
          <w:pPr>
            <w:pStyle w:val="Zkladntext"/>
            <w:rPr>
              <w:sz w:val="20"/>
              <w:highlight w:val="yellow"/>
            </w:rPr>
          </w:pPr>
        </w:p>
        <w:p w14:paraId="00494A3A" w14:textId="77777777" w:rsidR="00D80B6D" w:rsidRPr="00D84B7D" w:rsidRDefault="00D80B6D" w:rsidP="00D80B6D">
          <w:pPr>
            <w:pStyle w:val="Zkladntext"/>
            <w:rPr>
              <w:sz w:val="20"/>
              <w:highlight w:val="yellow"/>
            </w:rPr>
          </w:pPr>
          <w:r w:rsidRPr="00D84B7D">
            <w:rPr>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D84B7D" w:rsidRDefault="00D80B6D" w:rsidP="00D80B6D">
          <w:pPr>
            <w:pStyle w:val="Zkladntext"/>
            <w:rPr>
              <w:sz w:val="20"/>
              <w:highlight w:val="yellow"/>
            </w:rPr>
          </w:pPr>
        </w:p>
        <w:p w14:paraId="2A5F355C" w14:textId="77777777" w:rsidR="00D80B6D" w:rsidRPr="00D84B7D" w:rsidRDefault="00D80B6D" w:rsidP="00D80B6D">
          <w:pPr>
            <w:pStyle w:val="Zkladntext"/>
            <w:rPr>
              <w:sz w:val="20"/>
              <w:highlight w:val="yellow"/>
            </w:rPr>
          </w:pPr>
        </w:p>
        <w:p w14:paraId="218EE6CB" w14:textId="77777777" w:rsidR="00D80B6D" w:rsidRPr="00D84B7D" w:rsidRDefault="00D80B6D" w:rsidP="00D80B6D">
          <w:pPr>
            <w:pStyle w:val="Zkladntext"/>
            <w:rPr>
              <w:sz w:val="20"/>
              <w:highlight w:val="yellow"/>
            </w:rPr>
          </w:pPr>
        </w:p>
        <w:p w14:paraId="0238B3AB" w14:textId="77777777" w:rsidR="00D80B6D" w:rsidRPr="00D84B7D" w:rsidRDefault="00D80B6D" w:rsidP="00D80B6D">
          <w:pPr>
            <w:pStyle w:val="Zkladntext"/>
            <w:rPr>
              <w:sz w:val="20"/>
              <w:highlight w:val="yellow"/>
            </w:rPr>
          </w:pPr>
        </w:p>
        <w:p w14:paraId="54516A42" w14:textId="77777777" w:rsidR="00D80B6D" w:rsidRPr="00D84B7D" w:rsidRDefault="00D80B6D" w:rsidP="00D80B6D">
          <w:pPr>
            <w:pStyle w:val="Zkladntext"/>
            <w:rPr>
              <w:sz w:val="20"/>
              <w:highlight w:val="yellow"/>
            </w:rPr>
          </w:pPr>
        </w:p>
        <w:p w14:paraId="5266363A" w14:textId="77777777" w:rsidR="00D80B6D" w:rsidRPr="00D84B7D" w:rsidRDefault="00D80B6D" w:rsidP="00D80B6D">
          <w:pPr>
            <w:pStyle w:val="Zkladntext"/>
            <w:rPr>
              <w:sz w:val="20"/>
              <w:highlight w:val="yellow"/>
            </w:rPr>
          </w:pPr>
        </w:p>
        <w:p w14:paraId="363B2E28" w14:textId="77777777" w:rsidR="00D80B6D" w:rsidRPr="00D84B7D" w:rsidRDefault="00D80B6D" w:rsidP="00D80B6D">
          <w:pPr>
            <w:pStyle w:val="Zkladntext"/>
            <w:rPr>
              <w:sz w:val="20"/>
              <w:highlight w:val="yellow"/>
            </w:rPr>
          </w:pPr>
        </w:p>
        <w:p w14:paraId="17667B44" w14:textId="77777777" w:rsidR="00D80B6D" w:rsidRPr="00D84B7D" w:rsidRDefault="00D80B6D" w:rsidP="00D80B6D">
          <w:pPr>
            <w:pStyle w:val="Zkladntext"/>
            <w:jc w:val="both"/>
            <w:rPr>
              <w:rFonts w:ascii="Arial" w:hAnsi="Arial" w:cs="Arial"/>
              <w:sz w:val="20"/>
              <w:highlight w:val="yellow"/>
            </w:rPr>
          </w:pPr>
        </w:p>
        <w:p w14:paraId="5193A529" w14:textId="77777777" w:rsidR="00D80B6D" w:rsidRPr="00D84B7D" w:rsidRDefault="00D80B6D" w:rsidP="00D80B6D">
          <w:pPr>
            <w:pStyle w:val="Zkladntext"/>
            <w:jc w:val="both"/>
            <w:rPr>
              <w:rFonts w:ascii="Arial" w:hAnsi="Arial" w:cs="Arial"/>
              <w:b/>
              <w:sz w:val="20"/>
              <w:highlight w:val="yellow"/>
            </w:rPr>
          </w:pPr>
        </w:p>
        <w:p w14:paraId="2833FE59" w14:textId="77777777" w:rsidR="00D80B6D" w:rsidRPr="00D84B7D" w:rsidRDefault="00D80B6D" w:rsidP="00D80B6D">
          <w:pPr>
            <w:pStyle w:val="Zkladntext"/>
            <w:jc w:val="both"/>
            <w:rPr>
              <w:rFonts w:ascii="Arial" w:hAnsi="Arial" w:cs="Arial"/>
              <w:b/>
              <w:sz w:val="20"/>
              <w:highlight w:val="yellow"/>
            </w:rPr>
          </w:pPr>
        </w:p>
        <w:p w14:paraId="6DB157BF" w14:textId="77777777" w:rsidR="00D80B6D" w:rsidRPr="00D84B7D" w:rsidRDefault="00D80B6D" w:rsidP="00D80B6D">
          <w:pPr>
            <w:pStyle w:val="Zkladntext"/>
            <w:jc w:val="both"/>
            <w:rPr>
              <w:rFonts w:ascii="Arial" w:hAnsi="Arial" w:cs="Arial"/>
              <w:b/>
              <w:sz w:val="20"/>
              <w:highlight w:val="yellow"/>
            </w:rPr>
          </w:pPr>
        </w:p>
        <w:p w14:paraId="47803C2A" w14:textId="77777777" w:rsidR="00D80B6D" w:rsidRPr="00D84B7D" w:rsidRDefault="00D80B6D" w:rsidP="00D80B6D">
          <w:pPr>
            <w:pStyle w:val="Zkladntext"/>
            <w:jc w:val="both"/>
            <w:rPr>
              <w:rFonts w:ascii="Arial" w:hAnsi="Arial" w:cs="Arial"/>
              <w:b/>
              <w:sz w:val="20"/>
              <w:highlight w:val="yellow"/>
            </w:rPr>
          </w:pPr>
        </w:p>
        <w:p w14:paraId="1D90E1D0" w14:textId="77777777" w:rsidR="00D80B6D" w:rsidRPr="00D84B7D" w:rsidRDefault="00D80B6D" w:rsidP="00D80B6D">
          <w:pPr>
            <w:pStyle w:val="Zkladntext"/>
            <w:jc w:val="both"/>
            <w:rPr>
              <w:rFonts w:ascii="Arial" w:hAnsi="Arial" w:cs="Arial"/>
              <w:b/>
              <w:sz w:val="20"/>
              <w:highlight w:val="yellow"/>
            </w:rPr>
          </w:pPr>
        </w:p>
        <w:p w14:paraId="5A33B823" w14:textId="77777777" w:rsidR="00D80B6D" w:rsidRPr="00D84B7D" w:rsidRDefault="00D80B6D" w:rsidP="00D80B6D">
          <w:pPr>
            <w:pStyle w:val="Zkladntext"/>
            <w:jc w:val="both"/>
            <w:rPr>
              <w:rFonts w:ascii="Arial" w:hAnsi="Arial" w:cs="Arial"/>
              <w:b/>
              <w:sz w:val="20"/>
              <w:highlight w:val="yellow"/>
            </w:rPr>
          </w:pPr>
        </w:p>
        <w:p w14:paraId="0D2BECD0" w14:textId="77777777" w:rsidR="00D80B6D" w:rsidRPr="00D84B7D" w:rsidRDefault="00D80B6D" w:rsidP="00D80B6D">
          <w:pPr>
            <w:pStyle w:val="Zkladntext"/>
            <w:jc w:val="both"/>
            <w:rPr>
              <w:rFonts w:ascii="Arial" w:hAnsi="Arial" w:cs="Arial"/>
              <w:b/>
              <w:sz w:val="20"/>
              <w:highlight w:val="yellow"/>
            </w:rPr>
          </w:pPr>
        </w:p>
        <w:p w14:paraId="69288FB9" w14:textId="77777777" w:rsidR="00D80B6D" w:rsidRPr="00D84B7D" w:rsidRDefault="00D80B6D" w:rsidP="00D80B6D">
          <w:pPr>
            <w:pStyle w:val="Zkladntext"/>
            <w:jc w:val="both"/>
            <w:rPr>
              <w:rFonts w:ascii="Arial" w:hAnsi="Arial" w:cs="Arial"/>
              <w:b/>
              <w:sz w:val="20"/>
              <w:highlight w:val="yellow"/>
            </w:rPr>
          </w:pPr>
        </w:p>
        <w:p w14:paraId="541E93D5" w14:textId="77777777" w:rsidR="00D80B6D" w:rsidRPr="00D84B7D" w:rsidRDefault="00D80B6D" w:rsidP="00D80B6D">
          <w:pPr>
            <w:pStyle w:val="Zkladntext"/>
            <w:jc w:val="both"/>
            <w:rPr>
              <w:rFonts w:ascii="Arial" w:hAnsi="Arial" w:cs="Arial"/>
              <w:b/>
              <w:sz w:val="20"/>
              <w:highlight w:val="yellow"/>
            </w:rPr>
          </w:pPr>
        </w:p>
        <w:p w14:paraId="341A343C" w14:textId="77777777" w:rsidR="00D80B6D" w:rsidRPr="00D84B7D" w:rsidRDefault="00D80B6D" w:rsidP="00D80B6D">
          <w:pPr>
            <w:pStyle w:val="Zkladntext"/>
            <w:jc w:val="both"/>
            <w:rPr>
              <w:rFonts w:ascii="Arial" w:hAnsi="Arial" w:cs="Arial"/>
              <w:b/>
              <w:sz w:val="20"/>
              <w:highlight w:val="yellow"/>
            </w:rPr>
          </w:pPr>
        </w:p>
        <w:p w14:paraId="6C52C42D" w14:textId="77777777" w:rsidR="00D80B6D" w:rsidRPr="00D84B7D" w:rsidRDefault="00D80B6D" w:rsidP="00D80B6D">
          <w:pPr>
            <w:pStyle w:val="Zkladntext"/>
            <w:jc w:val="both"/>
            <w:rPr>
              <w:rFonts w:ascii="Arial" w:hAnsi="Arial" w:cs="Arial"/>
              <w:b/>
              <w:sz w:val="20"/>
              <w:highlight w:val="yellow"/>
            </w:rPr>
          </w:pPr>
        </w:p>
        <w:p w14:paraId="3E3CDF25" w14:textId="77777777" w:rsidR="00D80B6D" w:rsidRPr="00D84B7D" w:rsidRDefault="00D80B6D" w:rsidP="00D80B6D">
          <w:pPr>
            <w:pStyle w:val="Zkladntext"/>
            <w:jc w:val="both"/>
            <w:rPr>
              <w:rFonts w:ascii="Arial" w:hAnsi="Arial" w:cs="Arial"/>
              <w:b/>
              <w:sz w:val="20"/>
              <w:highlight w:val="yellow"/>
            </w:rPr>
          </w:pPr>
        </w:p>
        <w:p w14:paraId="40495E64" w14:textId="77777777" w:rsidR="00D80B6D" w:rsidRPr="00D84B7D" w:rsidRDefault="00D80B6D" w:rsidP="00D80B6D">
          <w:pPr>
            <w:pStyle w:val="Zkladntext"/>
            <w:jc w:val="both"/>
            <w:rPr>
              <w:rFonts w:ascii="Arial" w:hAnsi="Arial" w:cs="Arial"/>
              <w:b/>
              <w:sz w:val="20"/>
              <w:highlight w:val="yellow"/>
            </w:rPr>
          </w:pPr>
        </w:p>
        <w:p w14:paraId="59B6F4E6" w14:textId="77777777" w:rsidR="00D80B6D" w:rsidRPr="00D84B7D" w:rsidRDefault="00D80B6D" w:rsidP="00D80B6D">
          <w:pPr>
            <w:pStyle w:val="Zkladntext"/>
            <w:jc w:val="both"/>
            <w:rPr>
              <w:rFonts w:ascii="Arial" w:hAnsi="Arial" w:cs="Arial"/>
              <w:b/>
              <w:sz w:val="20"/>
              <w:highlight w:val="yellow"/>
            </w:rPr>
          </w:pPr>
        </w:p>
        <w:p w14:paraId="5ADDFBD6" w14:textId="77777777" w:rsidR="00D80B6D" w:rsidRPr="00D84B7D" w:rsidRDefault="00D80B6D" w:rsidP="00D80B6D">
          <w:pPr>
            <w:pStyle w:val="Zkladntext"/>
            <w:jc w:val="both"/>
            <w:rPr>
              <w:rFonts w:ascii="Arial" w:hAnsi="Arial" w:cs="Arial"/>
              <w:b/>
              <w:sz w:val="20"/>
              <w:highlight w:val="yellow"/>
            </w:rPr>
          </w:pPr>
        </w:p>
        <w:p w14:paraId="1CB27DF8" w14:textId="77777777" w:rsidR="007B358E" w:rsidRPr="00D84B7D" w:rsidRDefault="007B358E" w:rsidP="00D80B6D">
          <w:pPr>
            <w:pStyle w:val="Zkladntext"/>
            <w:jc w:val="both"/>
            <w:rPr>
              <w:rFonts w:ascii="Arial" w:hAnsi="Arial" w:cs="Arial"/>
              <w:b/>
              <w:sz w:val="20"/>
              <w:highlight w:val="yellow"/>
            </w:rPr>
          </w:pPr>
        </w:p>
        <w:p w14:paraId="3A61C564" w14:textId="77777777" w:rsidR="0068617E" w:rsidRPr="00D84B7D" w:rsidRDefault="0068617E" w:rsidP="00D80B6D">
          <w:pPr>
            <w:pStyle w:val="Zkladntext"/>
            <w:jc w:val="both"/>
            <w:rPr>
              <w:rFonts w:ascii="Arial" w:hAnsi="Arial" w:cs="Arial"/>
              <w:b/>
              <w:sz w:val="20"/>
              <w:highlight w:val="yellow"/>
            </w:rPr>
          </w:pPr>
        </w:p>
        <w:p w14:paraId="1414E639" w14:textId="77777777" w:rsidR="0068617E" w:rsidRPr="00D84B7D" w:rsidRDefault="0068617E" w:rsidP="00D80B6D">
          <w:pPr>
            <w:pStyle w:val="Zkladntext"/>
            <w:jc w:val="both"/>
            <w:rPr>
              <w:rFonts w:ascii="Arial" w:hAnsi="Arial" w:cs="Arial"/>
              <w:b/>
              <w:sz w:val="20"/>
              <w:highlight w:val="yellow"/>
            </w:rPr>
          </w:pPr>
        </w:p>
        <w:p w14:paraId="11132A3F" w14:textId="53DE594E" w:rsidR="00D80B6D" w:rsidRPr="00D84B7D" w:rsidRDefault="00D80B6D" w:rsidP="00D80B6D">
          <w:pPr>
            <w:pStyle w:val="Zkladntext"/>
            <w:jc w:val="both"/>
            <w:rPr>
              <w:rFonts w:ascii="Arial" w:hAnsi="Arial" w:cs="Arial"/>
              <w:b/>
              <w:sz w:val="20"/>
            </w:rPr>
          </w:pPr>
          <w:r w:rsidRPr="00D84B7D">
            <w:rPr>
              <w:rFonts w:ascii="Arial" w:hAnsi="Arial" w:cs="Arial"/>
              <w:b/>
              <w:sz w:val="20"/>
            </w:rPr>
            <w:t>O společnosti Broker Consulting</w:t>
          </w:r>
        </w:p>
        <w:p w14:paraId="27485CC6" w14:textId="77777777" w:rsidR="00D80B6D" w:rsidRPr="00D84B7D" w:rsidRDefault="00D80B6D" w:rsidP="00D80B6D">
          <w:pPr>
            <w:jc w:val="both"/>
            <w:rPr>
              <w:rFonts w:ascii="Arial" w:hAnsi="Arial" w:cs="Arial"/>
              <w:sz w:val="20"/>
            </w:rPr>
          </w:pPr>
        </w:p>
        <w:p w14:paraId="08070DCC" w14:textId="3891EFEA" w:rsidR="00792EE9" w:rsidRPr="00D84B7D" w:rsidRDefault="00792EE9" w:rsidP="00792EE9">
          <w:pPr>
            <w:jc w:val="both"/>
            <w:rPr>
              <w:rStyle w:val="dn"/>
              <w:rFonts w:ascii="Arial" w:hAnsi="Arial" w:cs="Arial"/>
              <w:sz w:val="18"/>
              <w:szCs w:val="18"/>
            </w:rPr>
          </w:pPr>
          <w:r w:rsidRPr="00D84B7D">
            <w:rPr>
              <w:rFonts w:ascii="Arial" w:hAnsi="Arial" w:cs="Arial"/>
              <w:sz w:val="18"/>
            </w:rPr>
            <w:t xml:space="preserve">Broker Consulting je jednou z největších společností na českém a slovenském trhu, která poskytuje služby v oblasti financí a realit. Od roku 1998 získala důvěru více než 600 000 klientů. Poskytuje také služby přes 4 000 firmám. Distribuci služeb zajišťuje přibližně 2 000 konzultantů (profesionální konzultanti, zaměstnanci, konzultanti v zapracování v ČR i SR) ve více než 100 kancelářích a </w:t>
          </w:r>
          <w:r w:rsidR="002141AF" w:rsidRPr="00D84B7D">
            <w:rPr>
              <w:rFonts w:ascii="Arial" w:hAnsi="Arial" w:cs="Arial"/>
              <w:sz w:val="18"/>
            </w:rPr>
            <w:t>40</w:t>
          </w:r>
          <w:r w:rsidRPr="00D84B7D">
            <w:rPr>
              <w:rFonts w:ascii="Arial" w:hAnsi="Arial" w:cs="Arial"/>
              <w:sz w:val="18"/>
            </w:rPr>
            <w:t xml:space="preserve"> franšízových pobočkách OK POINT.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OK POINT, který přináší společnost Broker Consulting ve spolupráci s mBank a MONETA Money Bank. </w:t>
          </w:r>
          <w:r w:rsidRPr="00D84B7D">
            <w:rPr>
              <w:rStyle w:val="dn"/>
              <w:rFonts w:ascii="Arial" w:hAnsi="Arial" w:cs="Arial"/>
              <w:sz w:val="18"/>
              <w:szCs w:val="18"/>
            </w:rPr>
            <w:t xml:space="preserve">Více na </w:t>
          </w:r>
          <w:hyperlink r:id="rId9" w:history="1">
            <w:r w:rsidR="007B232E" w:rsidRPr="00D84B7D">
              <w:rPr>
                <w:rStyle w:val="Hypertextovodkaz"/>
                <w:rFonts w:ascii="Arial" w:hAnsi="Arial" w:cs="Arial"/>
                <w:color w:val="auto"/>
                <w:sz w:val="18"/>
                <w:szCs w:val="18"/>
              </w:rPr>
              <w:t>bcas.cz</w:t>
            </w:r>
          </w:hyperlink>
          <w:r w:rsidRPr="00D84B7D">
            <w:rPr>
              <w:rStyle w:val="Hypertextovodkaz"/>
              <w:rFonts w:ascii="Arial" w:hAnsi="Arial" w:cs="Arial"/>
              <w:color w:val="auto"/>
              <w:sz w:val="18"/>
              <w:szCs w:val="18"/>
              <w:u w:val="none"/>
            </w:rPr>
            <w:t xml:space="preserve">, </w:t>
          </w:r>
          <w:hyperlink r:id="rId10" w:history="1">
            <w:r w:rsidR="007B232E" w:rsidRPr="00D84B7D">
              <w:rPr>
                <w:rStyle w:val="Hypertextovodkaz"/>
                <w:rFonts w:ascii="Arial" w:hAnsi="Arial" w:cs="Arial"/>
                <w:color w:val="auto"/>
                <w:sz w:val="18"/>
                <w:szCs w:val="18"/>
              </w:rPr>
              <w:t>okpointy.cz</w:t>
            </w:r>
          </w:hyperlink>
          <w:r w:rsidR="007B232E" w:rsidRPr="00D84B7D">
            <w:rPr>
              <w:rStyle w:val="Hypertextovodkaz"/>
              <w:rFonts w:ascii="Arial" w:hAnsi="Arial" w:cs="Arial"/>
              <w:color w:val="auto"/>
              <w:sz w:val="18"/>
              <w:szCs w:val="18"/>
              <w:u w:val="none"/>
            </w:rPr>
            <w:t xml:space="preserve">, </w:t>
          </w:r>
          <w:hyperlink r:id="rId11" w:history="1">
            <w:r w:rsidR="007B232E" w:rsidRPr="00D84B7D">
              <w:rPr>
                <w:rStyle w:val="Hypertextovodkaz"/>
                <w:rFonts w:ascii="Arial" w:hAnsi="Arial" w:cs="Arial"/>
                <w:color w:val="auto"/>
                <w:sz w:val="18"/>
                <w:szCs w:val="18"/>
              </w:rPr>
              <w:t>okpoint.tv</w:t>
            </w:r>
          </w:hyperlink>
          <w:r w:rsidRPr="00D84B7D">
            <w:rPr>
              <w:rStyle w:val="dn"/>
              <w:rFonts w:ascii="Arial" w:hAnsi="Arial" w:cs="Arial"/>
              <w:sz w:val="18"/>
              <w:szCs w:val="18"/>
            </w:rPr>
            <w:t xml:space="preserve"> a na </w:t>
          </w:r>
          <w:hyperlink r:id="rId12" w:history="1">
            <w:r w:rsidRPr="00D84B7D">
              <w:rPr>
                <w:rStyle w:val="Hypertextovodkaz"/>
                <w:rFonts w:ascii="Arial" w:hAnsi="Arial" w:cs="Arial"/>
                <w:color w:val="auto"/>
                <w:sz w:val="18"/>
                <w:szCs w:val="18"/>
              </w:rPr>
              <w:t>realityspolu.cz</w:t>
            </w:r>
          </w:hyperlink>
          <w:r w:rsidR="007B232E" w:rsidRPr="00D84B7D">
            <w:rPr>
              <w:rStyle w:val="Hypertextovodkaz"/>
              <w:rFonts w:ascii="Arial" w:hAnsi="Arial" w:cs="Arial"/>
              <w:color w:val="auto"/>
              <w:sz w:val="18"/>
              <w:szCs w:val="18"/>
              <w:u w:val="none"/>
            </w:rPr>
            <w:t xml:space="preserve">. </w:t>
          </w:r>
          <w:r w:rsidRPr="00D84B7D">
            <w:rPr>
              <w:rStyle w:val="dn"/>
              <w:rFonts w:ascii="Arial" w:hAnsi="Arial" w:cs="Arial"/>
              <w:sz w:val="18"/>
              <w:szCs w:val="18"/>
            </w:rPr>
            <w:t xml:space="preserve">Navštivte také náš </w:t>
          </w:r>
          <w:hyperlink r:id="rId13" w:history="1">
            <w:r w:rsidRPr="00D84B7D">
              <w:rPr>
                <w:rStyle w:val="Hypertextovodkaz"/>
                <w:rFonts w:ascii="Arial" w:hAnsi="Arial" w:cs="Arial"/>
                <w:color w:val="auto"/>
                <w:sz w:val="18"/>
                <w:szCs w:val="18"/>
              </w:rPr>
              <w:t>Facebook</w:t>
            </w:r>
          </w:hyperlink>
          <w:r w:rsidRPr="00D84B7D">
            <w:rPr>
              <w:rStyle w:val="dn"/>
              <w:rFonts w:ascii="Arial" w:hAnsi="Arial" w:cs="Arial"/>
              <w:sz w:val="18"/>
              <w:szCs w:val="18"/>
            </w:rPr>
            <w:t xml:space="preserve"> a </w:t>
          </w:r>
          <w:hyperlink r:id="rId14" w:history="1">
            <w:r w:rsidRPr="00D84B7D">
              <w:rPr>
                <w:rStyle w:val="Hypertextovodkaz"/>
                <w:rFonts w:ascii="Arial" w:hAnsi="Arial" w:cs="Arial"/>
                <w:color w:val="auto"/>
                <w:sz w:val="18"/>
                <w:szCs w:val="18"/>
              </w:rPr>
              <w:t>LinkedIN</w:t>
            </w:r>
          </w:hyperlink>
          <w:r w:rsidRPr="00D84B7D">
            <w:rPr>
              <w:rStyle w:val="dn"/>
              <w:rFonts w:ascii="Arial" w:hAnsi="Arial" w:cs="Arial"/>
              <w:sz w:val="18"/>
              <w:szCs w:val="18"/>
            </w:rPr>
            <w:t xml:space="preserve"> Broker Consulting a </w:t>
          </w:r>
          <w:hyperlink r:id="rId15" w:history="1">
            <w:r w:rsidRPr="00D84B7D">
              <w:rPr>
                <w:rStyle w:val="Hypertextovodkaz"/>
                <w:rFonts w:ascii="Arial" w:hAnsi="Arial" w:cs="Arial"/>
                <w:color w:val="auto"/>
                <w:sz w:val="18"/>
                <w:szCs w:val="18"/>
              </w:rPr>
              <w:t>Facebook</w:t>
            </w:r>
          </w:hyperlink>
          <w:r w:rsidRPr="00D84B7D">
            <w:rPr>
              <w:rStyle w:val="dn"/>
              <w:rFonts w:ascii="Arial" w:hAnsi="Arial" w:cs="Arial"/>
              <w:sz w:val="18"/>
              <w:szCs w:val="18"/>
            </w:rPr>
            <w:t xml:space="preserve"> a </w:t>
          </w:r>
          <w:hyperlink r:id="rId16" w:history="1">
            <w:r w:rsidRPr="00D84B7D">
              <w:rPr>
                <w:rStyle w:val="Hypertextovodkaz"/>
                <w:rFonts w:ascii="Arial" w:hAnsi="Arial" w:cs="Arial"/>
                <w:color w:val="auto"/>
                <w:sz w:val="18"/>
                <w:szCs w:val="18"/>
              </w:rPr>
              <w:t>LinkedI</w:t>
            </w:r>
          </w:hyperlink>
          <w:r w:rsidRPr="00D84B7D">
            <w:rPr>
              <w:rStyle w:val="Hypertextovodkaz"/>
              <w:rFonts w:ascii="Arial" w:hAnsi="Arial" w:cs="Arial"/>
              <w:color w:val="auto"/>
              <w:sz w:val="18"/>
              <w:szCs w:val="18"/>
            </w:rPr>
            <w:t>N</w:t>
          </w:r>
          <w:r w:rsidRPr="00D84B7D">
            <w:rPr>
              <w:rStyle w:val="dn"/>
              <w:rFonts w:ascii="Arial" w:hAnsi="Arial" w:cs="Arial"/>
              <w:sz w:val="18"/>
              <w:szCs w:val="18"/>
            </w:rPr>
            <w:t xml:space="preserve"> OK POINTů. </w:t>
          </w:r>
        </w:p>
        <w:p w14:paraId="3F0EC976" w14:textId="3496D289" w:rsidR="00D80B6D" w:rsidRPr="00D84B7D" w:rsidRDefault="00D80B6D" w:rsidP="0068617E">
          <w:pPr>
            <w:pStyle w:val="Zkladntext"/>
            <w:jc w:val="both"/>
            <w:rPr>
              <w:rFonts w:ascii="Arial" w:hAnsi="Arial" w:cs="Arial"/>
              <w:sz w:val="20"/>
              <w:highlight w:val="yellow"/>
            </w:rPr>
            <w:sectPr w:rsidR="00D80B6D" w:rsidRPr="00D84B7D" w:rsidSect="00D80B6D">
              <w:headerReference w:type="default" r:id="rId17"/>
              <w:footerReference w:type="default" r:id="rId18"/>
              <w:pgSz w:w="11910" w:h="16840"/>
              <w:pgMar w:top="960" w:right="740" w:bottom="0" w:left="720" w:header="708" w:footer="708" w:gutter="0"/>
              <w:cols w:space="708"/>
            </w:sectPr>
          </w:pPr>
        </w:p>
        <w:p w14:paraId="35539C65" w14:textId="1251B28C" w:rsidR="00D31127" w:rsidRPr="00D84B7D" w:rsidRDefault="0059432A" w:rsidP="0025264B">
          <w:pPr>
            <w:rPr>
              <w:rFonts w:ascii="Arial" w:hAnsi="Arial" w:cs="Arial"/>
              <w:b/>
              <w:sz w:val="20"/>
              <w:szCs w:val="20"/>
              <w:highlight w:val="yellow"/>
            </w:rPr>
            <w:sectPr w:rsidR="00D31127" w:rsidRPr="00D84B7D"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206747BB" w14:textId="7498B86E" w:rsidR="00AE72D7" w:rsidRDefault="00AE72D7" w:rsidP="00AE72D7">
      <w:pPr>
        <w:widowControl/>
        <w:autoSpaceDE/>
        <w:autoSpaceDN/>
        <w:jc w:val="both"/>
        <w:rPr>
          <w:rFonts w:ascii="Calibri" w:eastAsia="Times New Roman" w:hAnsi="Calibri" w:cs="Calibri"/>
          <w:color w:val="000000"/>
          <w:lang w:bidi="ar-SA"/>
        </w:rPr>
      </w:pPr>
    </w:p>
    <w:p w14:paraId="5252BF3F" w14:textId="77777777" w:rsidR="00D40C89" w:rsidRDefault="00D40C89" w:rsidP="006B2EA9">
      <w:pPr>
        <w:jc w:val="center"/>
        <w:rPr>
          <w:rFonts w:ascii="Arial" w:hAnsi="Arial" w:cs="Arial"/>
          <w:b/>
          <w:sz w:val="28"/>
          <w:szCs w:val="28"/>
        </w:rPr>
      </w:pPr>
    </w:p>
    <w:p w14:paraId="4F09DEB1" w14:textId="2CD71524" w:rsidR="00D60444" w:rsidRPr="006529D7" w:rsidRDefault="006B2EA9" w:rsidP="006B2EA9">
      <w:pPr>
        <w:jc w:val="center"/>
        <w:rPr>
          <w:rFonts w:ascii="Arial" w:eastAsia="Times New Roman" w:hAnsi="Arial" w:cs="Arial"/>
          <w:b/>
          <w:sz w:val="20"/>
          <w:szCs w:val="20"/>
        </w:rPr>
      </w:pPr>
      <w:r>
        <w:rPr>
          <w:rFonts w:ascii="Arial" w:hAnsi="Arial" w:cs="Arial"/>
          <w:b/>
          <w:sz w:val="28"/>
          <w:szCs w:val="28"/>
        </w:rPr>
        <w:t>Zdražování hypoték pokračovalo i</w:t>
      </w:r>
      <w:r w:rsidR="006529D7" w:rsidRPr="006B2EA9">
        <w:rPr>
          <w:rFonts w:ascii="Arial" w:hAnsi="Arial" w:cs="Arial"/>
          <w:b/>
          <w:sz w:val="28"/>
          <w:szCs w:val="28"/>
        </w:rPr>
        <w:t xml:space="preserve"> v listopadu stejn</w:t>
      </w:r>
      <w:r>
        <w:rPr>
          <w:rFonts w:ascii="Arial" w:hAnsi="Arial" w:cs="Arial"/>
          <w:b/>
          <w:sz w:val="28"/>
          <w:szCs w:val="28"/>
        </w:rPr>
        <w:t xml:space="preserve">ým </w:t>
      </w:r>
      <w:r w:rsidR="006529D7" w:rsidRPr="006B2EA9">
        <w:rPr>
          <w:rFonts w:ascii="Arial" w:hAnsi="Arial" w:cs="Arial"/>
          <w:b/>
          <w:sz w:val="28"/>
          <w:szCs w:val="28"/>
        </w:rPr>
        <w:t>temp</w:t>
      </w:r>
      <w:r>
        <w:rPr>
          <w:rFonts w:ascii="Arial" w:hAnsi="Arial" w:cs="Arial"/>
          <w:b/>
          <w:sz w:val="28"/>
          <w:szCs w:val="28"/>
        </w:rPr>
        <w:t xml:space="preserve">em, průměrná úroková sazba </w:t>
      </w:r>
      <w:r w:rsidR="006529D7" w:rsidRPr="006B2EA9">
        <w:rPr>
          <w:rFonts w:ascii="Arial" w:hAnsi="Arial" w:cs="Arial"/>
          <w:b/>
          <w:sz w:val="28"/>
          <w:szCs w:val="28"/>
        </w:rPr>
        <w:t>vzrostl</w:t>
      </w:r>
      <w:r>
        <w:rPr>
          <w:rFonts w:ascii="Arial" w:hAnsi="Arial" w:cs="Arial"/>
          <w:b/>
          <w:sz w:val="28"/>
          <w:szCs w:val="28"/>
        </w:rPr>
        <w:t>a</w:t>
      </w:r>
      <w:r w:rsidR="006529D7" w:rsidRPr="006B2EA9">
        <w:rPr>
          <w:rFonts w:ascii="Arial" w:hAnsi="Arial" w:cs="Arial"/>
          <w:b/>
          <w:sz w:val="28"/>
          <w:szCs w:val="28"/>
        </w:rPr>
        <w:t xml:space="preserve"> na 2,86 %. </w:t>
      </w:r>
      <w:r>
        <w:rPr>
          <w:rFonts w:ascii="Arial" w:hAnsi="Arial" w:cs="Arial"/>
          <w:b/>
          <w:sz w:val="28"/>
          <w:szCs w:val="28"/>
        </w:rPr>
        <w:t>Sazby mají nejčastěji 5letou fixaci</w:t>
      </w:r>
    </w:p>
    <w:p w14:paraId="7E543F5C" w14:textId="080A5EF9" w:rsidR="00673DDB" w:rsidRDefault="00673DDB" w:rsidP="00174317">
      <w:pPr>
        <w:jc w:val="both"/>
        <w:rPr>
          <w:rFonts w:ascii="Arial" w:hAnsi="Arial" w:cs="Arial"/>
          <w:i/>
          <w:sz w:val="20"/>
          <w:szCs w:val="20"/>
        </w:rPr>
      </w:pPr>
    </w:p>
    <w:p w14:paraId="10EA3566" w14:textId="77777777" w:rsidR="00D40C89" w:rsidRDefault="00D40C89" w:rsidP="00174317">
      <w:pPr>
        <w:jc w:val="both"/>
        <w:rPr>
          <w:rFonts w:ascii="Arial" w:hAnsi="Arial" w:cs="Arial"/>
          <w:i/>
          <w:sz w:val="20"/>
          <w:szCs w:val="20"/>
        </w:rPr>
      </w:pPr>
    </w:p>
    <w:p w14:paraId="2394C9D1" w14:textId="77777777" w:rsidR="00896FD6" w:rsidRDefault="00896FD6" w:rsidP="00D74A93">
      <w:pPr>
        <w:jc w:val="both"/>
        <w:rPr>
          <w:rFonts w:ascii="Arial" w:hAnsi="Arial" w:cs="Arial"/>
          <w:i/>
          <w:sz w:val="20"/>
          <w:szCs w:val="20"/>
        </w:rPr>
      </w:pPr>
    </w:p>
    <w:p w14:paraId="5B2E4A7B" w14:textId="47B9DC88" w:rsidR="006529D7" w:rsidRDefault="00E6319B" w:rsidP="00D74A93">
      <w:pPr>
        <w:jc w:val="both"/>
        <w:rPr>
          <w:rFonts w:ascii="Arial" w:hAnsi="Arial" w:cs="Arial"/>
          <w:b/>
          <w:color w:val="FF0000"/>
          <w:sz w:val="20"/>
          <w:szCs w:val="20"/>
        </w:rPr>
      </w:pPr>
      <w:r w:rsidRPr="00BB51F4">
        <w:rPr>
          <w:rFonts w:ascii="Arial" w:hAnsi="Arial" w:cs="Arial"/>
          <w:i/>
          <w:sz w:val="20"/>
          <w:szCs w:val="20"/>
        </w:rPr>
        <w:t xml:space="preserve">Praha, </w:t>
      </w:r>
      <w:r w:rsidR="00FB59EE">
        <w:rPr>
          <w:rFonts w:ascii="Arial" w:hAnsi="Arial" w:cs="Arial"/>
          <w:i/>
          <w:sz w:val="20"/>
          <w:szCs w:val="20"/>
        </w:rPr>
        <w:t>20</w:t>
      </w:r>
      <w:bookmarkStart w:id="0" w:name="_GoBack"/>
      <w:bookmarkEnd w:id="0"/>
      <w:r w:rsidR="00D47B8A">
        <w:rPr>
          <w:rFonts w:ascii="Arial" w:hAnsi="Arial" w:cs="Arial"/>
          <w:i/>
          <w:sz w:val="20"/>
          <w:szCs w:val="20"/>
        </w:rPr>
        <w:t xml:space="preserve">. </w:t>
      </w:r>
      <w:r w:rsidR="006529D7">
        <w:rPr>
          <w:rFonts w:ascii="Arial" w:hAnsi="Arial" w:cs="Arial"/>
          <w:i/>
          <w:sz w:val="20"/>
          <w:szCs w:val="20"/>
        </w:rPr>
        <w:t>prosince</w:t>
      </w:r>
      <w:r w:rsidRPr="00BB51F4">
        <w:rPr>
          <w:rFonts w:ascii="Arial" w:hAnsi="Arial" w:cs="Arial"/>
          <w:i/>
          <w:sz w:val="20"/>
          <w:szCs w:val="20"/>
        </w:rPr>
        <w:t xml:space="preserve"> 2021</w:t>
      </w:r>
      <w:r w:rsidRPr="00BB51F4">
        <w:rPr>
          <w:rFonts w:ascii="Arial" w:hAnsi="Arial" w:cs="Arial"/>
          <w:sz w:val="20"/>
          <w:szCs w:val="20"/>
        </w:rPr>
        <w:t xml:space="preserve"> </w:t>
      </w:r>
      <w:r w:rsidR="000851AC" w:rsidRPr="00BB51F4">
        <w:rPr>
          <w:rFonts w:ascii="Arial" w:hAnsi="Arial" w:cs="Arial"/>
          <w:sz w:val="20"/>
          <w:szCs w:val="20"/>
        </w:rPr>
        <w:t>–</w:t>
      </w:r>
      <w:r w:rsidR="002D64A2" w:rsidRPr="00BB51F4">
        <w:rPr>
          <w:rFonts w:ascii="Arial" w:hAnsi="Arial" w:cs="Arial"/>
          <w:b/>
          <w:sz w:val="20"/>
          <w:szCs w:val="20"/>
        </w:rPr>
        <w:t xml:space="preserve"> </w:t>
      </w:r>
      <w:r w:rsidR="006B2EA9" w:rsidRPr="00896FD6">
        <w:rPr>
          <w:rFonts w:ascii="Arial" w:hAnsi="Arial" w:cs="Arial"/>
          <w:b/>
          <w:sz w:val="20"/>
          <w:szCs w:val="20"/>
        </w:rPr>
        <w:t>Podle listopadových výsledků Broker Consulting Indexu hypotečních úvěrů si průměrná úroková sazba hypoték držela stejné tempo růstu jako v</w:t>
      </w:r>
      <w:r w:rsidR="00162D8E" w:rsidRPr="00896FD6">
        <w:rPr>
          <w:rFonts w:ascii="Arial" w:hAnsi="Arial" w:cs="Arial"/>
          <w:b/>
          <w:sz w:val="20"/>
          <w:szCs w:val="20"/>
        </w:rPr>
        <w:t xml:space="preserve"> říjnu. Meziměsíčně tak vzrostla o 0,14 procentního </w:t>
      </w:r>
      <w:r w:rsidR="00162D8E" w:rsidRPr="00553369">
        <w:rPr>
          <w:rFonts w:ascii="Arial" w:hAnsi="Arial" w:cs="Arial"/>
          <w:b/>
          <w:sz w:val="20"/>
          <w:szCs w:val="20"/>
        </w:rPr>
        <w:t xml:space="preserve">bodu na 2,86 %. </w:t>
      </w:r>
      <w:r w:rsidR="00896FD6" w:rsidRPr="00553369">
        <w:rPr>
          <w:rFonts w:ascii="Arial" w:hAnsi="Arial" w:cs="Arial"/>
          <w:b/>
          <w:sz w:val="20"/>
          <w:szCs w:val="20"/>
        </w:rPr>
        <w:t xml:space="preserve">Průměrná výše hypotečního úvěru </w:t>
      </w:r>
      <w:r w:rsidR="00553369" w:rsidRPr="00553369">
        <w:rPr>
          <w:rFonts w:ascii="Arial" w:hAnsi="Arial" w:cs="Arial"/>
          <w:b/>
          <w:sz w:val="20"/>
          <w:szCs w:val="20"/>
        </w:rPr>
        <w:t>dosahuje</w:t>
      </w:r>
      <w:r w:rsidR="00896FD6" w:rsidRPr="00553369">
        <w:rPr>
          <w:rFonts w:ascii="Arial" w:hAnsi="Arial" w:cs="Arial"/>
          <w:b/>
          <w:sz w:val="20"/>
          <w:szCs w:val="20"/>
        </w:rPr>
        <w:t xml:space="preserve"> dle výsledků indexu </w:t>
      </w:r>
      <w:r w:rsidR="00553369" w:rsidRPr="00553369">
        <w:rPr>
          <w:rFonts w:ascii="Arial" w:hAnsi="Arial" w:cs="Arial"/>
          <w:b/>
          <w:sz w:val="20"/>
          <w:szCs w:val="20"/>
        </w:rPr>
        <w:t xml:space="preserve">částky </w:t>
      </w:r>
      <w:r w:rsidR="00896FD6" w:rsidRPr="00553369">
        <w:rPr>
          <w:rFonts w:ascii="Arial" w:eastAsia="Times New Roman" w:hAnsi="Arial" w:cs="Arial"/>
          <w:b/>
          <w:sz w:val="20"/>
          <w:szCs w:val="20"/>
        </w:rPr>
        <w:t xml:space="preserve">3 032 311 </w:t>
      </w:r>
      <w:r w:rsidR="00553369" w:rsidRPr="00553369">
        <w:rPr>
          <w:rFonts w:ascii="Arial" w:eastAsia="Times New Roman" w:hAnsi="Arial" w:cs="Arial"/>
          <w:b/>
          <w:sz w:val="20"/>
          <w:szCs w:val="20"/>
        </w:rPr>
        <w:t>korun</w:t>
      </w:r>
      <w:r w:rsidR="00896FD6" w:rsidRPr="00553369">
        <w:rPr>
          <w:rFonts w:ascii="Arial" w:eastAsia="Times New Roman" w:hAnsi="Arial" w:cs="Arial"/>
          <w:b/>
          <w:sz w:val="20"/>
          <w:szCs w:val="20"/>
        </w:rPr>
        <w:t xml:space="preserve">. </w:t>
      </w:r>
      <w:r w:rsidR="00553369">
        <w:rPr>
          <w:rFonts w:ascii="Arial" w:eastAsia="Times New Roman" w:hAnsi="Arial" w:cs="Arial"/>
          <w:b/>
          <w:sz w:val="20"/>
          <w:szCs w:val="20"/>
        </w:rPr>
        <w:t>Žadatelé o úvěr mají i nadále největší z</w:t>
      </w:r>
      <w:r w:rsidR="00162D8E" w:rsidRPr="00553369">
        <w:rPr>
          <w:rFonts w:ascii="Arial" w:hAnsi="Arial" w:cs="Arial"/>
          <w:b/>
          <w:sz w:val="20"/>
          <w:szCs w:val="20"/>
        </w:rPr>
        <w:t xml:space="preserve">ájem o fixaci sazby na 5 let. Jak ukazuje </w:t>
      </w:r>
      <w:proofErr w:type="spellStart"/>
      <w:r w:rsidR="00162D8E" w:rsidRPr="00553369">
        <w:rPr>
          <w:rFonts w:ascii="Arial" w:hAnsi="Arial" w:cs="Arial"/>
          <w:b/>
          <w:sz w:val="20"/>
          <w:szCs w:val="20"/>
        </w:rPr>
        <w:t>FIXIndex</w:t>
      </w:r>
      <w:proofErr w:type="spellEnd"/>
      <w:r w:rsidR="00162D8E" w:rsidRPr="00553369">
        <w:rPr>
          <w:rFonts w:ascii="Arial" w:hAnsi="Arial" w:cs="Arial"/>
          <w:b/>
          <w:sz w:val="20"/>
          <w:szCs w:val="20"/>
        </w:rPr>
        <w:t>, tato fixace je sjednávána u více než 70 % úvěrů</w:t>
      </w:r>
      <w:r w:rsidR="00162D8E" w:rsidRPr="00896FD6">
        <w:rPr>
          <w:rFonts w:ascii="Arial" w:hAnsi="Arial" w:cs="Arial"/>
          <w:b/>
          <w:sz w:val="20"/>
          <w:szCs w:val="20"/>
        </w:rPr>
        <w:t xml:space="preserve">. </w:t>
      </w:r>
    </w:p>
    <w:p w14:paraId="7763798F" w14:textId="77777777" w:rsidR="00A07A9F" w:rsidRPr="00A07A9F" w:rsidRDefault="00A07A9F" w:rsidP="00D74A93">
      <w:pPr>
        <w:jc w:val="both"/>
        <w:rPr>
          <w:rFonts w:ascii="Arial" w:hAnsi="Arial" w:cs="Arial"/>
          <w:b/>
          <w:color w:val="FF0000"/>
          <w:sz w:val="20"/>
          <w:szCs w:val="20"/>
        </w:rPr>
      </w:pPr>
    </w:p>
    <w:p w14:paraId="5AAB4C39" w14:textId="4671C21E" w:rsidR="006529D7" w:rsidRPr="006529D7" w:rsidRDefault="00444432" w:rsidP="00D74A93">
      <w:pPr>
        <w:jc w:val="both"/>
        <w:rPr>
          <w:rFonts w:ascii="Arial" w:eastAsia="Times New Roman" w:hAnsi="Arial" w:cs="Arial"/>
          <w:sz w:val="20"/>
          <w:szCs w:val="20"/>
        </w:rPr>
      </w:pPr>
      <w:r w:rsidRPr="0064209A">
        <w:rPr>
          <w:rFonts w:ascii="Arial" w:eastAsia="Times New Roman" w:hAnsi="Arial" w:cs="Arial"/>
          <w:i/>
          <w:sz w:val="20"/>
          <w:szCs w:val="20"/>
        </w:rPr>
        <w:t xml:space="preserve">„Výsledky našeho listopadového </w:t>
      </w:r>
      <w:r w:rsidR="001A7D2F" w:rsidRPr="0064209A">
        <w:rPr>
          <w:rFonts w:ascii="Arial" w:eastAsia="Times New Roman" w:hAnsi="Arial" w:cs="Arial"/>
          <w:i/>
          <w:sz w:val="20"/>
          <w:szCs w:val="20"/>
        </w:rPr>
        <w:t>hypoteční</w:t>
      </w:r>
      <w:r w:rsidRPr="0064209A">
        <w:rPr>
          <w:rFonts w:ascii="Arial" w:eastAsia="Times New Roman" w:hAnsi="Arial" w:cs="Arial"/>
          <w:i/>
          <w:sz w:val="20"/>
          <w:szCs w:val="20"/>
        </w:rPr>
        <w:t>ho</w:t>
      </w:r>
      <w:r w:rsidR="001A7D2F" w:rsidRPr="0064209A">
        <w:rPr>
          <w:rFonts w:ascii="Arial" w:eastAsia="Times New Roman" w:hAnsi="Arial" w:cs="Arial"/>
          <w:i/>
          <w:sz w:val="20"/>
          <w:szCs w:val="20"/>
        </w:rPr>
        <w:t xml:space="preserve"> index</w:t>
      </w:r>
      <w:r w:rsidRPr="0064209A">
        <w:rPr>
          <w:rFonts w:ascii="Arial" w:eastAsia="Times New Roman" w:hAnsi="Arial" w:cs="Arial"/>
          <w:i/>
          <w:sz w:val="20"/>
          <w:szCs w:val="20"/>
        </w:rPr>
        <w:t>u</w:t>
      </w:r>
      <w:r w:rsidR="001A7D2F" w:rsidRPr="0064209A">
        <w:rPr>
          <w:rFonts w:ascii="Arial" w:eastAsia="Times New Roman" w:hAnsi="Arial" w:cs="Arial"/>
          <w:i/>
          <w:sz w:val="20"/>
          <w:szCs w:val="20"/>
        </w:rPr>
        <w:t xml:space="preserve"> překvapiv</w:t>
      </w:r>
      <w:r w:rsidRPr="0064209A">
        <w:rPr>
          <w:rFonts w:ascii="Arial" w:eastAsia="Times New Roman" w:hAnsi="Arial" w:cs="Arial"/>
          <w:i/>
          <w:sz w:val="20"/>
          <w:szCs w:val="20"/>
        </w:rPr>
        <w:t xml:space="preserve">ě </w:t>
      </w:r>
      <w:r w:rsidR="00A07A9F" w:rsidRPr="0064209A">
        <w:rPr>
          <w:rFonts w:ascii="Arial" w:eastAsia="Times New Roman" w:hAnsi="Arial" w:cs="Arial"/>
          <w:i/>
          <w:sz w:val="20"/>
          <w:szCs w:val="20"/>
        </w:rPr>
        <w:t>reflektují</w:t>
      </w:r>
      <w:r w:rsidR="006529D7" w:rsidRPr="0064209A">
        <w:rPr>
          <w:rFonts w:ascii="Arial" w:eastAsia="Times New Roman" w:hAnsi="Arial" w:cs="Arial"/>
          <w:i/>
          <w:sz w:val="20"/>
          <w:szCs w:val="20"/>
        </w:rPr>
        <w:t xml:space="preserve"> </w:t>
      </w:r>
      <w:r w:rsidR="001A7D2F" w:rsidRPr="0064209A">
        <w:rPr>
          <w:rFonts w:ascii="Arial" w:eastAsia="Times New Roman" w:hAnsi="Arial" w:cs="Arial"/>
          <w:i/>
          <w:sz w:val="20"/>
          <w:szCs w:val="20"/>
        </w:rPr>
        <w:t>v</w:t>
      </w:r>
      <w:r w:rsidRPr="0064209A">
        <w:rPr>
          <w:rFonts w:ascii="Arial" w:eastAsia="Times New Roman" w:hAnsi="Arial" w:cs="Arial"/>
          <w:i/>
          <w:sz w:val="20"/>
          <w:szCs w:val="20"/>
        </w:rPr>
        <w:t xml:space="preserve">elmi </w:t>
      </w:r>
      <w:r w:rsidR="006529D7" w:rsidRPr="0064209A">
        <w:rPr>
          <w:rFonts w:ascii="Arial" w:eastAsia="Times New Roman" w:hAnsi="Arial" w:cs="Arial"/>
          <w:i/>
          <w:sz w:val="20"/>
          <w:szCs w:val="20"/>
        </w:rPr>
        <w:t xml:space="preserve">pomalé zvyšování průměrné úrokové sazby. Index dosahuje hodnoty 2,86 %, </w:t>
      </w:r>
      <w:r w:rsidR="001A7D2F" w:rsidRPr="0064209A">
        <w:rPr>
          <w:rFonts w:ascii="Arial" w:eastAsia="Times New Roman" w:hAnsi="Arial" w:cs="Arial"/>
          <w:i/>
          <w:sz w:val="20"/>
          <w:szCs w:val="20"/>
        </w:rPr>
        <w:t xml:space="preserve">zatímco </w:t>
      </w:r>
      <w:r w:rsidR="00553369" w:rsidRPr="0064209A">
        <w:rPr>
          <w:rFonts w:ascii="Arial" w:eastAsia="Times New Roman" w:hAnsi="Arial" w:cs="Arial"/>
          <w:i/>
          <w:sz w:val="20"/>
          <w:szCs w:val="20"/>
        </w:rPr>
        <w:t xml:space="preserve">na trhu začínají </w:t>
      </w:r>
      <w:r w:rsidR="006529D7" w:rsidRPr="0064209A">
        <w:rPr>
          <w:rFonts w:ascii="Arial" w:eastAsia="Times New Roman" w:hAnsi="Arial" w:cs="Arial"/>
          <w:i/>
          <w:sz w:val="20"/>
          <w:szCs w:val="20"/>
        </w:rPr>
        <w:t xml:space="preserve">úrokové sazby </w:t>
      </w:r>
      <w:r w:rsidR="001A7D2F" w:rsidRPr="0064209A">
        <w:rPr>
          <w:rFonts w:ascii="Arial" w:eastAsia="Times New Roman" w:hAnsi="Arial" w:cs="Arial"/>
          <w:i/>
          <w:sz w:val="20"/>
          <w:szCs w:val="20"/>
        </w:rPr>
        <w:t xml:space="preserve">pro fixaci na 5 let </w:t>
      </w:r>
      <w:r w:rsidR="00553369" w:rsidRPr="0064209A">
        <w:rPr>
          <w:rFonts w:ascii="Arial" w:eastAsia="Times New Roman" w:hAnsi="Arial" w:cs="Arial"/>
          <w:i/>
          <w:sz w:val="20"/>
          <w:szCs w:val="20"/>
        </w:rPr>
        <w:t>s</w:t>
      </w:r>
      <w:r w:rsidRPr="0064209A">
        <w:rPr>
          <w:rFonts w:ascii="Arial" w:eastAsia="Times New Roman" w:hAnsi="Arial" w:cs="Arial"/>
          <w:i/>
          <w:sz w:val="20"/>
          <w:szCs w:val="20"/>
        </w:rPr>
        <w:t xml:space="preserve"> </w:t>
      </w:r>
      <w:r w:rsidR="001A7D2F" w:rsidRPr="0064209A">
        <w:rPr>
          <w:rFonts w:ascii="Arial" w:eastAsia="Times New Roman" w:hAnsi="Arial" w:cs="Arial"/>
          <w:i/>
          <w:sz w:val="20"/>
          <w:szCs w:val="20"/>
        </w:rPr>
        <w:t>využití</w:t>
      </w:r>
      <w:r w:rsidR="00553369" w:rsidRPr="0064209A">
        <w:rPr>
          <w:rFonts w:ascii="Arial" w:eastAsia="Times New Roman" w:hAnsi="Arial" w:cs="Arial"/>
          <w:i/>
          <w:sz w:val="20"/>
          <w:szCs w:val="20"/>
        </w:rPr>
        <w:t>m</w:t>
      </w:r>
      <w:r w:rsidR="001A7D2F" w:rsidRPr="0064209A">
        <w:rPr>
          <w:rFonts w:ascii="Arial" w:eastAsia="Times New Roman" w:hAnsi="Arial" w:cs="Arial"/>
          <w:i/>
          <w:sz w:val="20"/>
          <w:szCs w:val="20"/>
        </w:rPr>
        <w:t xml:space="preserve"> všech slev </w:t>
      </w:r>
      <w:r w:rsidR="006529D7" w:rsidRPr="0064209A">
        <w:rPr>
          <w:rFonts w:ascii="Arial" w:eastAsia="Times New Roman" w:hAnsi="Arial" w:cs="Arial"/>
          <w:i/>
          <w:sz w:val="20"/>
          <w:szCs w:val="20"/>
        </w:rPr>
        <w:t xml:space="preserve">na sazbě 3,79 %. </w:t>
      </w:r>
      <w:r w:rsidR="0064209A">
        <w:rPr>
          <w:rFonts w:ascii="Arial" w:eastAsia="Times New Roman" w:hAnsi="Arial" w:cs="Arial"/>
          <w:i/>
          <w:sz w:val="20"/>
          <w:szCs w:val="20"/>
        </w:rPr>
        <w:t>Úroková s</w:t>
      </w:r>
      <w:r w:rsidR="006529D7" w:rsidRPr="0064209A">
        <w:rPr>
          <w:rFonts w:ascii="Arial" w:eastAsia="Times New Roman" w:hAnsi="Arial" w:cs="Arial"/>
          <w:i/>
          <w:sz w:val="20"/>
          <w:szCs w:val="20"/>
        </w:rPr>
        <w:t>azba pouze s účtem pak začíná na</w:t>
      </w:r>
      <w:r w:rsidR="0064209A" w:rsidRPr="0064209A">
        <w:rPr>
          <w:rFonts w:ascii="Arial" w:eastAsia="Times New Roman" w:hAnsi="Arial" w:cs="Arial"/>
          <w:i/>
          <w:sz w:val="20"/>
          <w:szCs w:val="20"/>
        </w:rPr>
        <w:t xml:space="preserve"> 3,99</w:t>
      </w:r>
      <w:r w:rsidR="0064209A">
        <w:rPr>
          <w:rFonts w:ascii="Arial" w:eastAsia="Times New Roman" w:hAnsi="Arial" w:cs="Arial"/>
          <w:i/>
          <w:sz w:val="20"/>
          <w:szCs w:val="20"/>
        </w:rPr>
        <w:t xml:space="preserve"> %. </w:t>
      </w:r>
      <w:r w:rsidRPr="00444432">
        <w:rPr>
          <w:rFonts w:ascii="Arial" w:eastAsia="Times New Roman" w:hAnsi="Arial" w:cs="Arial"/>
          <w:i/>
          <w:sz w:val="20"/>
          <w:szCs w:val="20"/>
        </w:rPr>
        <w:t xml:space="preserve">Index tak </w:t>
      </w:r>
      <w:r w:rsidR="006529D7" w:rsidRPr="00444432">
        <w:rPr>
          <w:rFonts w:ascii="Arial" w:eastAsia="Times New Roman" w:hAnsi="Arial" w:cs="Arial"/>
          <w:i/>
          <w:sz w:val="20"/>
          <w:szCs w:val="20"/>
        </w:rPr>
        <w:t xml:space="preserve">jasně </w:t>
      </w:r>
      <w:r w:rsidRPr="00444432">
        <w:rPr>
          <w:rFonts w:ascii="Arial" w:eastAsia="Times New Roman" w:hAnsi="Arial" w:cs="Arial"/>
          <w:i/>
          <w:sz w:val="20"/>
          <w:szCs w:val="20"/>
        </w:rPr>
        <w:t xml:space="preserve">dokládá, </w:t>
      </w:r>
      <w:r w:rsidR="006529D7" w:rsidRPr="00444432">
        <w:rPr>
          <w:rFonts w:ascii="Arial" w:eastAsia="Times New Roman" w:hAnsi="Arial" w:cs="Arial"/>
          <w:i/>
          <w:sz w:val="20"/>
          <w:szCs w:val="20"/>
        </w:rPr>
        <w:t xml:space="preserve">že se klienti </w:t>
      </w:r>
      <w:r w:rsidRPr="00444432">
        <w:rPr>
          <w:rFonts w:ascii="Arial" w:eastAsia="Times New Roman" w:hAnsi="Arial" w:cs="Arial"/>
          <w:i/>
          <w:sz w:val="20"/>
          <w:szCs w:val="20"/>
        </w:rPr>
        <w:t xml:space="preserve">v obavě před dalším zvyšováním úrokových sazeb </w:t>
      </w:r>
      <w:r w:rsidR="00553369">
        <w:rPr>
          <w:rFonts w:ascii="Arial" w:eastAsia="Times New Roman" w:hAnsi="Arial" w:cs="Arial"/>
          <w:i/>
          <w:sz w:val="20"/>
          <w:szCs w:val="20"/>
        </w:rPr>
        <w:t xml:space="preserve">takzvaně </w:t>
      </w:r>
      <w:r w:rsidRPr="00444432">
        <w:rPr>
          <w:rFonts w:ascii="Arial" w:eastAsia="Times New Roman" w:hAnsi="Arial" w:cs="Arial"/>
          <w:i/>
          <w:sz w:val="20"/>
          <w:szCs w:val="20"/>
        </w:rPr>
        <w:t>předzásobili hypotečními úvěry,“</w:t>
      </w:r>
      <w:r>
        <w:rPr>
          <w:rFonts w:ascii="Arial" w:eastAsia="Times New Roman" w:hAnsi="Arial" w:cs="Arial"/>
          <w:sz w:val="20"/>
          <w:szCs w:val="20"/>
        </w:rPr>
        <w:t xml:space="preserve"> vysvětluje </w:t>
      </w:r>
      <w:r w:rsidRPr="00444432">
        <w:rPr>
          <w:rFonts w:ascii="Arial" w:eastAsia="Times New Roman" w:hAnsi="Arial" w:cs="Arial"/>
          <w:b/>
          <w:sz w:val="20"/>
          <w:szCs w:val="20"/>
        </w:rPr>
        <w:t>Martin Novák, hlavní analytik společnosti Broker Consulting</w:t>
      </w:r>
      <w:r>
        <w:rPr>
          <w:rFonts w:ascii="Arial" w:eastAsia="Times New Roman" w:hAnsi="Arial" w:cs="Arial"/>
          <w:sz w:val="20"/>
          <w:szCs w:val="20"/>
        </w:rPr>
        <w:t>.</w:t>
      </w:r>
      <w:r w:rsidR="0064209A">
        <w:rPr>
          <w:rFonts w:ascii="Arial" w:eastAsia="Times New Roman" w:hAnsi="Arial" w:cs="Arial"/>
          <w:sz w:val="20"/>
          <w:szCs w:val="20"/>
        </w:rPr>
        <w:t xml:space="preserve"> </w:t>
      </w:r>
    </w:p>
    <w:p w14:paraId="78980C15" w14:textId="77777777" w:rsidR="006529D7" w:rsidRPr="006529D7" w:rsidRDefault="006529D7" w:rsidP="00D74A93">
      <w:pPr>
        <w:jc w:val="both"/>
        <w:rPr>
          <w:rFonts w:ascii="Arial" w:eastAsia="Times New Roman" w:hAnsi="Arial" w:cs="Arial"/>
          <w:sz w:val="20"/>
          <w:szCs w:val="20"/>
        </w:rPr>
      </w:pPr>
    </w:p>
    <w:p w14:paraId="7C14789D" w14:textId="0517CAA8" w:rsidR="006529D7" w:rsidRPr="002E1A01" w:rsidRDefault="00444432" w:rsidP="00D74A93">
      <w:pPr>
        <w:jc w:val="both"/>
        <w:rPr>
          <w:rFonts w:ascii="Arial" w:eastAsia="Times New Roman" w:hAnsi="Arial" w:cs="Arial"/>
          <w:b/>
          <w:sz w:val="20"/>
          <w:szCs w:val="20"/>
        </w:rPr>
      </w:pPr>
      <w:r>
        <w:rPr>
          <w:rFonts w:ascii="Arial" w:eastAsia="Times New Roman" w:hAnsi="Arial" w:cs="Arial"/>
          <w:sz w:val="20"/>
          <w:szCs w:val="20"/>
        </w:rPr>
        <w:t>Růst</w:t>
      </w:r>
      <w:r w:rsidR="006529D7" w:rsidRPr="006529D7">
        <w:rPr>
          <w:rFonts w:ascii="Arial" w:eastAsia="Times New Roman" w:hAnsi="Arial" w:cs="Arial"/>
          <w:sz w:val="20"/>
          <w:szCs w:val="20"/>
        </w:rPr>
        <w:t xml:space="preserve"> úrokových </w:t>
      </w:r>
      <w:r w:rsidR="006529D7" w:rsidRPr="00553369">
        <w:rPr>
          <w:rFonts w:ascii="Arial" w:eastAsia="Times New Roman" w:hAnsi="Arial" w:cs="Arial"/>
          <w:sz w:val="20"/>
          <w:szCs w:val="20"/>
        </w:rPr>
        <w:t xml:space="preserve">sazeb </w:t>
      </w:r>
      <w:r w:rsidR="00553369" w:rsidRPr="00553369">
        <w:rPr>
          <w:rFonts w:ascii="Arial" w:eastAsia="Times New Roman" w:hAnsi="Arial" w:cs="Arial"/>
          <w:sz w:val="20"/>
          <w:szCs w:val="20"/>
        </w:rPr>
        <w:t xml:space="preserve">není </w:t>
      </w:r>
      <w:r w:rsidR="002E1A01" w:rsidRPr="00553369">
        <w:rPr>
          <w:rFonts w:ascii="Arial" w:eastAsia="Times New Roman" w:hAnsi="Arial" w:cs="Arial"/>
          <w:sz w:val="20"/>
          <w:szCs w:val="20"/>
        </w:rPr>
        <w:t>s největší pravděpodobností</w:t>
      </w:r>
      <w:r w:rsidR="006529D7" w:rsidRPr="00553369">
        <w:rPr>
          <w:rFonts w:ascii="Arial" w:eastAsia="Times New Roman" w:hAnsi="Arial" w:cs="Arial"/>
          <w:sz w:val="20"/>
          <w:szCs w:val="20"/>
        </w:rPr>
        <w:t xml:space="preserve"> </w:t>
      </w:r>
      <w:r w:rsidR="00553369" w:rsidRPr="00553369">
        <w:rPr>
          <w:rFonts w:ascii="Arial" w:eastAsia="Times New Roman" w:hAnsi="Arial" w:cs="Arial"/>
          <w:sz w:val="20"/>
          <w:szCs w:val="20"/>
        </w:rPr>
        <w:t>ani</w:t>
      </w:r>
      <w:r w:rsidR="006529D7" w:rsidRPr="00553369">
        <w:rPr>
          <w:rFonts w:ascii="Arial" w:eastAsia="Times New Roman" w:hAnsi="Arial" w:cs="Arial"/>
          <w:sz w:val="20"/>
          <w:szCs w:val="20"/>
        </w:rPr>
        <w:t xml:space="preserve"> </w:t>
      </w:r>
      <w:r w:rsidR="002E1A01" w:rsidRPr="00553369">
        <w:rPr>
          <w:rFonts w:ascii="Arial" w:eastAsia="Times New Roman" w:hAnsi="Arial" w:cs="Arial"/>
          <w:sz w:val="20"/>
          <w:szCs w:val="20"/>
        </w:rPr>
        <w:t>zdaleka u konce. ČNB jasně deklaruje, že bude dál bojovat s i</w:t>
      </w:r>
      <w:r w:rsidR="006529D7" w:rsidRPr="00553369">
        <w:rPr>
          <w:rFonts w:ascii="Arial" w:eastAsia="Times New Roman" w:hAnsi="Arial" w:cs="Arial"/>
          <w:sz w:val="20"/>
          <w:szCs w:val="20"/>
        </w:rPr>
        <w:t xml:space="preserve">nflací </w:t>
      </w:r>
      <w:r w:rsidR="002E1A01" w:rsidRPr="00553369">
        <w:rPr>
          <w:rFonts w:ascii="Arial" w:eastAsia="Times New Roman" w:hAnsi="Arial" w:cs="Arial"/>
          <w:sz w:val="20"/>
          <w:szCs w:val="20"/>
        </w:rPr>
        <w:t>pomocí</w:t>
      </w:r>
      <w:r w:rsidR="006529D7" w:rsidRPr="00553369">
        <w:rPr>
          <w:rFonts w:ascii="Arial" w:eastAsia="Times New Roman" w:hAnsi="Arial" w:cs="Arial"/>
          <w:sz w:val="20"/>
          <w:szCs w:val="20"/>
        </w:rPr>
        <w:t xml:space="preserve"> zvýšení základních úrokových sazeb v ekonomice, od kterých se hypoteční sazby odvíjejí. </w:t>
      </w:r>
      <w:r w:rsidR="002E1A01" w:rsidRPr="00553369">
        <w:rPr>
          <w:rFonts w:ascii="Arial" w:eastAsia="Times New Roman" w:hAnsi="Arial" w:cs="Arial"/>
          <w:sz w:val="20"/>
          <w:szCs w:val="20"/>
        </w:rPr>
        <w:t xml:space="preserve">Do jaké míry se </w:t>
      </w:r>
      <w:r w:rsidR="006529D7" w:rsidRPr="00553369">
        <w:rPr>
          <w:rFonts w:ascii="Arial" w:eastAsia="Times New Roman" w:hAnsi="Arial" w:cs="Arial"/>
          <w:sz w:val="20"/>
          <w:szCs w:val="20"/>
        </w:rPr>
        <w:t>úrokové sazby následně zvednou</w:t>
      </w:r>
      <w:r w:rsidR="002E1A01" w:rsidRPr="00553369">
        <w:rPr>
          <w:rFonts w:ascii="Arial" w:eastAsia="Times New Roman" w:hAnsi="Arial" w:cs="Arial"/>
          <w:sz w:val="20"/>
          <w:szCs w:val="20"/>
        </w:rPr>
        <w:t>, nelze v tuto chvíli odhadnout</w:t>
      </w:r>
      <w:r w:rsidR="006529D7" w:rsidRPr="00553369">
        <w:rPr>
          <w:rFonts w:ascii="Arial" w:eastAsia="Times New Roman" w:hAnsi="Arial" w:cs="Arial"/>
          <w:sz w:val="20"/>
          <w:szCs w:val="20"/>
        </w:rPr>
        <w:t>. P</w:t>
      </w:r>
      <w:r w:rsidR="002E1A01" w:rsidRPr="00553369">
        <w:rPr>
          <w:rFonts w:ascii="Arial" w:eastAsia="Times New Roman" w:hAnsi="Arial" w:cs="Arial"/>
          <w:sz w:val="20"/>
          <w:szCs w:val="20"/>
        </w:rPr>
        <w:t>odle odborníku by k ustálení</w:t>
      </w:r>
      <w:r w:rsidR="006529D7" w:rsidRPr="00553369">
        <w:rPr>
          <w:rFonts w:ascii="Arial" w:eastAsia="Times New Roman" w:hAnsi="Arial" w:cs="Arial"/>
          <w:sz w:val="20"/>
          <w:szCs w:val="20"/>
        </w:rPr>
        <w:t xml:space="preserve"> situace </w:t>
      </w:r>
      <w:r w:rsidR="002E1A01" w:rsidRPr="00553369">
        <w:rPr>
          <w:rFonts w:ascii="Arial" w:eastAsia="Times New Roman" w:hAnsi="Arial" w:cs="Arial"/>
          <w:sz w:val="20"/>
          <w:szCs w:val="20"/>
        </w:rPr>
        <w:t xml:space="preserve">mělo dojít </w:t>
      </w:r>
      <w:r w:rsidR="006529D7" w:rsidRPr="00553369">
        <w:rPr>
          <w:rFonts w:ascii="Arial" w:eastAsia="Times New Roman" w:hAnsi="Arial" w:cs="Arial"/>
          <w:sz w:val="20"/>
          <w:szCs w:val="20"/>
        </w:rPr>
        <w:t>v prvním kvartále</w:t>
      </w:r>
      <w:r w:rsidR="002E1A01" w:rsidRPr="00553369">
        <w:rPr>
          <w:rFonts w:ascii="Arial" w:eastAsia="Times New Roman" w:hAnsi="Arial" w:cs="Arial"/>
          <w:sz w:val="20"/>
          <w:szCs w:val="20"/>
        </w:rPr>
        <w:t>,</w:t>
      </w:r>
      <w:r w:rsidR="006529D7" w:rsidRPr="00553369">
        <w:rPr>
          <w:rFonts w:ascii="Arial" w:eastAsia="Times New Roman" w:hAnsi="Arial" w:cs="Arial"/>
          <w:sz w:val="20"/>
          <w:szCs w:val="20"/>
        </w:rPr>
        <w:t xml:space="preserve"> </w:t>
      </w:r>
      <w:r w:rsidR="002E1A01" w:rsidRPr="00553369">
        <w:rPr>
          <w:rFonts w:ascii="Arial" w:eastAsia="Times New Roman" w:hAnsi="Arial" w:cs="Arial"/>
          <w:sz w:val="20"/>
          <w:szCs w:val="20"/>
        </w:rPr>
        <w:t xml:space="preserve">či </w:t>
      </w:r>
      <w:r w:rsidR="006529D7" w:rsidRPr="00553369">
        <w:rPr>
          <w:rFonts w:ascii="Arial" w:eastAsia="Times New Roman" w:hAnsi="Arial" w:cs="Arial"/>
          <w:sz w:val="20"/>
          <w:szCs w:val="20"/>
        </w:rPr>
        <w:t xml:space="preserve">spíše </w:t>
      </w:r>
      <w:r w:rsidR="00553369">
        <w:rPr>
          <w:rFonts w:ascii="Arial" w:eastAsia="Times New Roman" w:hAnsi="Arial" w:cs="Arial"/>
          <w:sz w:val="20"/>
          <w:szCs w:val="20"/>
        </w:rPr>
        <w:t xml:space="preserve">až </w:t>
      </w:r>
      <w:r w:rsidR="006529D7" w:rsidRPr="00553369">
        <w:rPr>
          <w:rFonts w:ascii="Arial" w:eastAsia="Times New Roman" w:hAnsi="Arial" w:cs="Arial"/>
          <w:sz w:val="20"/>
          <w:szCs w:val="20"/>
        </w:rPr>
        <w:t>v první polovině roku 2022.</w:t>
      </w:r>
      <w:r w:rsidR="006529D7" w:rsidRPr="002E1A01">
        <w:rPr>
          <w:rFonts w:ascii="Arial" w:eastAsia="Times New Roman" w:hAnsi="Arial" w:cs="Arial"/>
          <w:b/>
          <w:sz w:val="20"/>
          <w:szCs w:val="20"/>
        </w:rPr>
        <w:t> </w:t>
      </w:r>
    </w:p>
    <w:p w14:paraId="386409F5" w14:textId="799B519F" w:rsidR="006529D7" w:rsidRPr="006529D7" w:rsidRDefault="006529D7" w:rsidP="00D74A93">
      <w:pPr>
        <w:jc w:val="both"/>
        <w:rPr>
          <w:rFonts w:ascii="Arial" w:eastAsia="Times New Roman" w:hAnsi="Arial" w:cs="Arial"/>
          <w:sz w:val="20"/>
          <w:szCs w:val="20"/>
        </w:rPr>
      </w:pPr>
    </w:p>
    <w:p w14:paraId="30E983B1" w14:textId="74D9AA60" w:rsidR="006529D7" w:rsidRDefault="006529D7" w:rsidP="00D74A93">
      <w:pPr>
        <w:jc w:val="both"/>
        <w:rPr>
          <w:rFonts w:ascii="Arial" w:eastAsia="Times New Roman" w:hAnsi="Arial" w:cs="Arial"/>
          <w:sz w:val="20"/>
          <w:szCs w:val="20"/>
        </w:rPr>
      </w:pPr>
      <w:r w:rsidRPr="006529D7">
        <w:rPr>
          <w:rFonts w:ascii="Arial" w:eastAsia="Times New Roman" w:hAnsi="Arial" w:cs="Arial"/>
          <w:sz w:val="20"/>
          <w:szCs w:val="20"/>
        </w:rPr>
        <w:t>Z</w:t>
      </w:r>
      <w:r w:rsidR="002E1A01">
        <w:rPr>
          <w:rFonts w:ascii="Arial" w:eastAsia="Times New Roman" w:hAnsi="Arial" w:cs="Arial"/>
          <w:sz w:val="20"/>
          <w:szCs w:val="20"/>
        </w:rPr>
        <w:t> údajů Broker Consulting Indexu hypotečních úvěrů</w:t>
      </w:r>
      <w:r w:rsidRPr="006529D7">
        <w:rPr>
          <w:rFonts w:ascii="Arial" w:eastAsia="Times New Roman" w:hAnsi="Arial" w:cs="Arial"/>
          <w:sz w:val="20"/>
          <w:szCs w:val="20"/>
        </w:rPr>
        <w:t xml:space="preserve"> vyplývají </w:t>
      </w:r>
      <w:r w:rsidR="00A65B9D">
        <w:rPr>
          <w:rFonts w:ascii="Arial" w:eastAsia="Times New Roman" w:hAnsi="Arial" w:cs="Arial"/>
          <w:sz w:val="20"/>
          <w:szCs w:val="20"/>
        </w:rPr>
        <w:t>další</w:t>
      </w:r>
      <w:r w:rsidR="002E1A01">
        <w:rPr>
          <w:rFonts w:ascii="Arial" w:eastAsia="Times New Roman" w:hAnsi="Arial" w:cs="Arial"/>
          <w:sz w:val="20"/>
          <w:szCs w:val="20"/>
        </w:rPr>
        <w:t xml:space="preserve"> zajímavé poznatky. </w:t>
      </w:r>
      <w:r w:rsidR="00A65B9D">
        <w:rPr>
          <w:rFonts w:ascii="Arial" w:eastAsia="Times New Roman" w:hAnsi="Arial" w:cs="Arial"/>
          <w:sz w:val="20"/>
          <w:szCs w:val="20"/>
        </w:rPr>
        <w:t>Jedním</w:t>
      </w:r>
      <w:r w:rsidR="002E1A01">
        <w:rPr>
          <w:rFonts w:ascii="Arial" w:eastAsia="Times New Roman" w:hAnsi="Arial" w:cs="Arial"/>
          <w:sz w:val="20"/>
          <w:szCs w:val="20"/>
        </w:rPr>
        <w:t xml:space="preserve"> z nich </w:t>
      </w:r>
      <w:r w:rsidRPr="006529D7">
        <w:rPr>
          <w:rFonts w:ascii="Arial" w:eastAsia="Times New Roman" w:hAnsi="Arial" w:cs="Arial"/>
          <w:sz w:val="20"/>
          <w:szCs w:val="20"/>
        </w:rPr>
        <w:t xml:space="preserve">je </w:t>
      </w:r>
      <w:r w:rsidR="002E1A01">
        <w:rPr>
          <w:rFonts w:ascii="Arial" w:eastAsia="Times New Roman" w:hAnsi="Arial" w:cs="Arial"/>
          <w:sz w:val="20"/>
          <w:szCs w:val="20"/>
        </w:rPr>
        <w:t>dramatický ná</w:t>
      </w:r>
      <w:r w:rsidRPr="006529D7">
        <w:rPr>
          <w:rFonts w:ascii="Arial" w:eastAsia="Times New Roman" w:hAnsi="Arial" w:cs="Arial"/>
          <w:sz w:val="20"/>
          <w:szCs w:val="20"/>
        </w:rPr>
        <w:t xml:space="preserve">růst průměrné výše hypotečních úvěrů, který v letošním roce prolomil hranici 3 milionů korun. </w:t>
      </w:r>
      <w:r w:rsidR="00A65B9D" w:rsidRPr="00A65B9D">
        <w:rPr>
          <w:rFonts w:ascii="Arial" w:eastAsia="Times New Roman" w:hAnsi="Arial" w:cs="Arial"/>
          <w:i/>
          <w:sz w:val="20"/>
          <w:szCs w:val="20"/>
        </w:rPr>
        <w:t>„</w:t>
      </w:r>
      <w:r w:rsidRPr="00A65B9D">
        <w:rPr>
          <w:rFonts w:ascii="Arial" w:eastAsia="Times New Roman" w:hAnsi="Arial" w:cs="Arial"/>
          <w:i/>
          <w:sz w:val="20"/>
          <w:szCs w:val="20"/>
        </w:rPr>
        <w:t xml:space="preserve">Aktuální výše </w:t>
      </w:r>
      <w:r w:rsidR="002E1A01" w:rsidRPr="00A65B9D">
        <w:rPr>
          <w:rFonts w:ascii="Arial" w:eastAsia="Times New Roman" w:hAnsi="Arial" w:cs="Arial"/>
          <w:i/>
          <w:sz w:val="20"/>
          <w:szCs w:val="20"/>
        </w:rPr>
        <w:t>hypotéky</w:t>
      </w:r>
      <w:r w:rsidRPr="00A65B9D">
        <w:rPr>
          <w:rFonts w:ascii="Arial" w:eastAsia="Times New Roman" w:hAnsi="Arial" w:cs="Arial"/>
          <w:i/>
          <w:sz w:val="20"/>
          <w:szCs w:val="20"/>
        </w:rPr>
        <w:t xml:space="preserve"> činí 3 032 311 Kč. </w:t>
      </w:r>
      <w:r w:rsidR="00A65B9D" w:rsidRPr="00A65B9D">
        <w:rPr>
          <w:rFonts w:ascii="Arial" w:eastAsia="Times New Roman" w:hAnsi="Arial" w:cs="Arial"/>
          <w:i/>
          <w:sz w:val="20"/>
          <w:szCs w:val="20"/>
        </w:rPr>
        <w:t>V rozmezí posledních</w:t>
      </w:r>
      <w:r w:rsidRPr="00A65B9D">
        <w:rPr>
          <w:rFonts w:ascii="Arial" w:eastAsia="Times New Roman" w:hAnsi="Arial" w:cs="Arial"/>
          <w:i/>
          <w:sz w:val="20"/>
          <w:szCs w:val="20"/>
        </w:rPr>
        <w:t xml:space="preserve"> 10 let </w:t>
      </w:r>
      <w:r w:rsidR="00A65B9D" w:rsidRPr="00A65B9D">
        <w:rPr>
          <w:rFonts w:ascii="Arial" w:eastAsia="Times New Roman" w:hAnsi="Arial" w:cs="Arial"/>
          <w:i/>
          <w:sz w:val="20"/>
          <w:szCs w:val="20"/>
        </w:rPr>
        <w:t>jde</w:t>
      </w:r>
      <w:r w:rsidR="002E1A01" w:rsidRPr="00A65B9D">
        <w:rPr>
          <w:rFonts w:ascii="Arial" w:eastAsia="Times New Roman" w:hAnsi="Arial" w:cs="Arial"/>
          <w:i/>
          <w:sz w:val="20"/>
          <w:szCs w:val="20"/>
        </w:rPr>
        <w:t xml:space="preserve"> o </w:t>
      </w:r>
      <w:r w:rsidRPr="00A65B9D">
        <w:rPr>
          <w:rFonts w:ascii="Arial" w:eastAsia="Times New Roman" w:hAnsi="Arial" w:cs="Arial"/>
          <w:i/>
          <w:sz w:val="20"/>
          <w:szCs w:val="20"/>
        </w:rPr>
        <w:t xml:space="preserve">nárůst o </w:t>
      </w:r>
      <w:r w:rsidR="00A65B9D" w:rsidRPr="00A65B9D">
        <w:rPr>
          <w:rFonts w:ascii="Arial" w:eastAsia="Times New Roman" w:hAnsi="Arial" w:cs="Arial"/>
          <w:i/>
          <w:sz w:val="20"/>
          <w:szCs w:val="20"/>
        </w:rPr>
        <w:t xml:space="preserve">neuvěřitelných </w:t>
      </w:r>
      <w:r w:rsidRPr="00A65B9D">
        <w:rPr>
          <w:rFonts w:ascii="Arial" w:eastAsia="Times New Roman" w:hAnsi="Arial" w:cs="Arial"/>
          <w:i/>
          <w:sz w:val="20"/>
          <w:szCs w:val="20"/>
        </w:rPr>
        <w:t xml:space="preserve">91,16 </w:t>
      </w:r>
      <w:r w:rsidR="00553369">
        <w:rPr>
          <w:rFonts w:ascii="Arial" w:eastAsia="Times New Roman" w:hAnsi="Arial" w:cs="Arial"/>
          <w:i/>
          <w:sz w:val="20"/>
          <w:szCs w:val="20"/>
        </w:rPr>
        <w:t>%</w:t>
      </w:r>
      <w:r w:rsidR="0064209A">
        <w:rPr>
          <w:rFonts w:ascii="Arial" w:eastAsia="Times New Roman" w:hAnsi="Arial" w:cs="Arial"/>
          <w:i/>
          <w:sz w:val="20"/>
          <w:szCs w:val="20"/>
        </w:rPr>
        <w:t xml:space="preserve">, přičemž důvodem </w:t>
      </w:r>
      <w:r w:rsidR="00553369">
        <w:rPr>
          <w:rFonts w:ascii="Arial" w:eastAsia="Times New Roman" w:hAnsi="Arial" w:cs="Arial"/>
          <w:i/>
          <w:sz w:val="20"/>
          <w:szCs w:val="20"/>
        </w:rPr>
        <w:t>je bez</w:t>
      </w:r>
      <w:r w:rsidR="0064209A">
        <w:rPr>
          <w:rFonts w:ascii="Arial" w:eastAsia="Times New Roman" w:hAnsi="Arial" w:cs="Arial"/>
          <w:i/>
          <w:sz w:val="20"/>
          <w:szCs w:val="20"/>
        </w:rPr>
        <w:t xml:space="preserve">esporu </w:t>
      </w:r>
      <w:r w:rsidR="00A65B9D">
        <w:rPr>
          <w:rFonts w:ascii="Arial" w:eastAsia="Times New Roman" w:hAnsi="Arial" w:cs="Arial"/>
          <w:i/>
          <w:sz w:val="20"/>
          <w:szCs w:val="20"/>
        </w:rPr>
        <w:t xml:space="preserve">zvýšení </w:t>
      </w:r>
      <w:r w:rsidRPr="00A65B9D">
        <w:rPr>
          <w:rFonts w:ascii="Arial" w:eastAsia="Times New Roman" w:hAnsi="Arial" w:cs="Arial"/>
          <w:i/>
          <w:sz w:val="20"/>
          <w:szCs w:val="20"/>
        </w:rPr>
        <w:t xml:space="preserve">cen </w:t>
      </w:r>
      <w:r w:rsidR="00A65B9D" w:rsidRPr="00A65B9D">
        <w:rPr>
          <w:rFonts w:ascii="Arial" w:eastAsia="Times New Roman" w:hAnsi="Arial" w:cs="Arial"/>
          <w:i/>
          <w:sz w:val="20"/>
          <w:szCs w:val="20"/>
        </w:rPr>
        <w:t xml:space="preserve">nemovitostí,“ </w:t>
      </w:r>
      <w:r w:rsidR="0064209A">
        <w:rPr>
          <w:rFonts w:ascii="Arial" w:eastAsia="Times New Roman" w:hAnsi="Arial" w:cs="Arial"/>
          <w:sz w:val="20"/>
          <w:szCs w:val="20"/>
        </w:rPr>
        <w:t>vysvětluje</w:t>
      </w:r>
      <w:r w:rsidR="00A65B9D">
        <w:rPr>
          <w:rFonts w:ascii="Arial" w:eastAsia="Times New Roman" w:hAnsi="Arial" w:cs="Arial"/>
          <w:sz w:val="20"/>
          <w:szCs w:val="20"/>
        </w:rPr>
        <w:t xml:space="preserve"> </w:t>
      </w:r>
      <w:r w:rsidR="00A65B9D" w:rsidRPr="00A65B9D">
        <w:rPr>
          <w:rFonts w:ascii="Arial" w:eastAsia="Times New Roman" w:hAnsi="Arial" w:cs="Arial"/>
          <w:b/>
          <w:sz w:val="20"/>
          <w:szCs w:val="20"/>
        </w:rPr>
        <w:t>Tomáš Mašek, ředitel pobočky OK POINT ve Znojmě</w:t>
      </w:r>
      <w:r w:rsidR="00A65B9D">
        <w:rPr>
          <w:rFonts w:ascii="Arial" w:eastAsia="Times New Roman" w:hAnsi="Arial" w:cs="Arial"/>
          <w:sz w:val="20"/>
          <w:szCs w:val="20"/>
        </w:rPr>
        <w:t>.</w:t>
      </w:r>
    </w:p>
    <w:p w14:paraId="096DF040" w14:textId="4CECFD4D" w:rsidR="006529D7" w:rsidRDefault="006529D7" w:rsidP="00D74A93">
      <w:pPr>
        <w:jc w:val="both"/>
        <w:rPr>
          <w:rFonts w:ascii="Arial" w:eastAsia="Times New Roman" w:hAnsi="Arial" w:cs="Arial"/>
          <w:sz w:val="20"/>
          <w:szCs w:val="20"/>
        </w:rPr>
      </w:pPr>
    </w:p>
    <w:p w14:paraId="199A974E" w14:textId="77777777" w:rsidR="006529D7" w:rsidRDefault="006529D7" w:rsidP="003243A6">
      <w:pPr>
        <w:jc w:val="both"/>
        <w:rPr>
          <w:rFonts w:ascii="Arial" w:hAnsi="Arial" w:cs="Arial"/>
          <w:b/>
          <w:sz w:val="20"/>
          <w:szCs w:val="20"/>
        </w:rPr>
      </w:pPr>
    </w:p>
    <w:p w14:paraId="5B4D2DB0" w14:textId="77777777" w:rsidR="00D1081A" w:rsidRPr="006529D7" w:rsidRDefault="00D1081A" w:rsidP="00AE72D7">
      <w:pPr>
        <w:jc w:val="both"/>
        <w:rPr>
          <w:rFonts w:ascii="Arial" w:hAnsi="Arial" w:cs="Arial"/>
          <w:color w:val="FF0000"/>
          <w:sz w:val="20"/>
          <w:szCs w:val="20"/>
        </w:rPr>
      </w:pPr>
    </w:p>
    <w:p w14:paraId="36DF5CCE" w14:textId="375527EB" w:rsidR="006529D7" w:rsidRDefault="00FB59EE" w:rsidP="00B01F39">
      <w:pPr>
        <w:ind w:left="-142"/>
        <w:rPr>
          <w:rFonts w:ascii="Arial" w:hAnsi="Arial" w:cs="Arial"/>
          <w:b/>
          <w:sz w:val="18"/>
          <w:szCs w:val="16"/>
        </w:rPr>
      </w:pPr>
      <w:r>
        <w:rPr>
          <w:rFonts w:ascii="Arial" w:hAnsi="Arial" w:cs="Arial"/>
          <w:b/>
          <w:sz w:val="18"/>
          <w:szCs w:val="16"/>
        </w:rPr>
        <w:pict w14:anchorId="0DC94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65pt;height:192.55pt">
            <v:imagedata r:id="rId25" o:title="GRAF BC Index hypotečních úvěrů - listopad 2021"/>
          </v:shape>
        </w:pict>
      </w:r>
    </w:p>
    <w:p w14:paraId="62AEF15E" w14:textId="77777777" w:rsidR="006529D7" w:rsidRDefault="006529D7" w:rsidP="00B01F39">
      <w:pPr>
        <w:rPr>
          <w:rFonts w:ascii="Arial" w:hAnsi="Arial" w:cs="Arial"/>
          <w:b/>
          <w:sz w:val="18"/>
          <w:szCs w:val="16"/>
        </w:rPr>
      </w:pPr>
    </w:p>
    <w:p w14:paraId="00571D1F" w14:textId="77777777" w:rsidR="00D74A93" w:rsidRDefault="00D74A93" w:rsidP="006529D7">
      <w:pPr>
        <w:rPr>
          <w:rFonts w:ascii="Arial" w:hAnsi="Arial" w:cs="Arial"/>
          <w:b/>
          <w:sz w:val="18"/>
          <w:szCs w:val="16"/>
        </w:rPr>
      </w:pPr>
    </w:p>
    <w:p w14:paraId="45EB002E" w14:textId="28A8C095" w:rsidR="00D40C89" w:rsidRPr="006529D7" w:rsidRDefault="00D40C89" w:rsidP="00D40C89">
      <w:pPr>
        <w:jc w:val="both"/>
        <w:rPr>
          <w:rFonts w:ascii="Arial" w:eastAsia="Times New Roman" w:hAnsi="Arial" w:cs="Arial"/>
          <w:sz w:val="20"/>
          <w:szCs w:val="20"/>
        </w:rPr>
      </w:pPr>
      <w:r>
        <w:rPr>
          <w:rFonts w:ascii="Arial" w:eastAsia="Times New Roman" w:hAnsi="Arial" w:cs="Arial"/>
          <w:sz w:val="20"/>
          <w:szCs w:val="20"/>
        </w:rPr>
        <w:t xml:space="preserve">Neméně zajímavé jsou </w:t>
      </w:r>
      <w:r w:rsidR="0064209A">
        <w:rPr>
          <w:rFonts w:ascii="Arial" w:eastAsia="Times New Roman" w:hAnsi="Arial" w:cs="Arial"/>
          <w:sz w:val="20"/>
          <w:szCs w:val="20"/>
        </w:rPr>
        <w:t>také</w:t>
      </w:r>
      <w:r>
        <w:rPr>
          <w:rFonts w:ascii="Arial" w:eastAsia="Times New Roman" w:hAnsi="Arial" w:cs="Arial"/>
          <w:sz w:val="20"/>
          <w:szCs w:val="20"/>
        </w:rPr>
        <w:t xml:space="preserve"> aktuální výsledky </w:t>
      </w:r>
      <w:r w:rsidRPr="00D40C89">
        <w:rPr>
          <w:rFonts w:ascii="Arial" w:eastAsia="Times New Roman" w:hAnsi="Arial" w:cs="Arial"/>
          <w:b/>
          <w:sz w:val="20"/>
          <w:szCs w:val="20"/>
        </w:rPr>
        <w:t>Broker Consulting</w:t>
      </w:r>
      <w:r>
        <w:rPr>
          <w:rFonts w:ascii="Arial" w:eastAsia="Times New Roman" w:hAnsi="Arial" w:cs="Arial"/>
          <w:sz w:val="20"/>
          <w:szCs w:val="20"/>
        </w:rPr>
        <w:t xml:space="preserve"> </w:t>
      </w:r>
      <w:proofErr w:type="spellStart"/>
      <w:r w:rsidRPr="00896FD6">
        <w:rPr>
          <w:rFonts w:ascii="Arial" w:eastAsia="Times New Roman" w:hAnsi="Arial" w:cs="Arial"/>
          <w:b/>
          <w:sz w:val="20"/>
          <w:szCs w:val="20"/>
        </w:rPr>
        <w:t>FIXIndexu</w:t>
      </w:r>
      <w:proofErr w:type="spellEnd"/>
      <w:r>
        <w:rPr>
          <w:rFonts w:ascii="Arial" w:eastAsia="Times New Roman" w:hAnsi="Arial" w:cs="Arial"/>
          <w:sz w:val="20"/>
          <w:szCs w:val="20"/>
        </w:rPr>
        <w:t xml:space="preserve">, které ukazují </w:t>
      </w:r>
      <w:r w:rsidRPr="006529D7">
        <w:rPr>
          <w:rFonts w:ascii="Arial" w:eastAsia="Times New Roman" w:hAnsi="Arial" w:cs="Arial"/>
          <w:sz w:val="20"/>
          <w:szCs w:val="20"/>
        </w:rPr>
        <w:t>dramatick</w:t>
      </w:r>
      <w:r>
        <w:rPr>
          <w:rFonts w:ascii="Arial" w:eastAsia="Times New Roman" w:hAnsi="Arial" w:cs="Arial"/>
          <w:sz w:val="20"/>
          <w:szCs w:val="20"/>
        </w:rPr>
        <w:t xml:space="preserve">ou </w:t>
      </w:r>
      <w:r w:rsidRPr="006529D7">
        <w:rPr>
          <w:rFonts w:ascii="Arial" w:eastAsia="Times New Roman" w:hAnsi="Arial" w:cs="Arial"/>
          <w:sz w:val="20"/>
          <w:szCs w:val="20"/>
        </w:rPr>
        <w:t>změn</w:t>
      </w:r>
      <w:r>
        <w:rPr>
          <w:rFonts w:ascii="Arial" w:eastAsia="Times New Roman" w:hAnsi="Arial" w:cs="Arial"/>
          <w:sz w:val="20"/>
          <w:szCs w:val="20"/>
        </w:rPr>
        <w:t>u</w:t>
      </w:r>
      <w:r w:rsidRPr="006529D7">
        <w:rPr>
          <w:rFonts w:ascii="Arial" w:eastAsia="Times New Roman" w:hAnsi="Arial" w:cs="Arial"/>
          <w:sz w:val="20"/>
          <w:szCs w:val="20"/>
        </w:rPr>
        <w:t xml:space="preserve"> v oblí</w:t>
      </w:r>
      <w:r>
        <w:rPr>
          <w:rFonts w:ascii="Arial" w:eastAsia="Times New Roman" w:hAnsi="Arial" w:cs="Arial"/>
          <w:sz w:val="20"/>
          <w:szCs w:val="20"/>
        </w:rPr>
        <w:t xml:space="preserve">benosti fixací úrokových sazeb hypoték. Preference fixací u žadatelů o úvěr </w:t>
      </w:r>
      <w:r w:rsidRPr="006529D7">
        <w:rPr>
          <w:rFonts w:ascii="Arial" w:eastAsia="Times New Roman" w:hAnsi="Arial" w:cs="Arial"/>
          <w:sz w:val="20"/>
          <w:szCs w:val="20"/>
        </w:rPr>
        <w:t xml:space="preserve">v podstatě kopíruje růst sazeb. V dobách nízkých sazeb </w:t>
      </w:r>
      <w:r>
        <w:rPr>
          <w:rFonts w:ascii="Arial" w:eastAsia="Times New Roman" w:hAnsi="Arial" w:cs="Arial"/>
          <w:sz w:val="20"/>
          <w:szCs w:val="20"/>
        </w:rPr>
        <w:t>žadatelé upřednostňovali delší úrokové sazby nad 5 let, nezřídka i na 10 let</w:t>
      </w:r>
      <w:r w:rsidRPr="006529D7">
        <w:rPr>
          <w:rFonts w:ascii="Arial" w:eastAsia="Times New Roman" w:hAnsi="Arial" w:cs="Arial"/>
          <w:sz w:val="20"/>
          <w:szCs w:val="20"/>
        </w:rPr>
        <w:t xml:space="preserve">, </w:t>
      </w:r>
      <w:r>
        <w:rPr>
          <w:rFonts w:ascii="Arial" w:eastAsia="Times New Roman" w:hAnsi="Arial" w:cs="Arial"/>
          <w:sz w:val="20"/>
          <w:szCs w:val="20"/>
        </w:rPr>
        <w:t xml:space="preserve">zatímco </w:t>
      </w:r>
      <w:r w:rsidRPr="006529D7">
        <w:rPr>
          <w:rFonts w:ascii="Arial" w:eastAsia="Times New Roman" w:hAnsi="Arial" w:cs="Arial"/>
          <w:sz w:val="20"/>
          <w:szCs w:val="20"/>
        </w:rPr>
        <w:t xml:space="preserve">v době zvyšujících se sazeb se </w:t>
      </w:r>
      <w:r>
        <w:rPr>
          <w:rFonts w:ascii="Arial" w:eastAsia="Times New Roman" w:hAnsi="Arial" w:cs="Arial"/>
          <w:sz w:val="20"/>
          <w:szCs w:val="20"/>
        </w:rPr>
        <w:t xml:space="preserve">pak </w:t>
      </w:r>
      <w:r w:rsidRPr="006529D7">
        <w:rPr>
          <w:rFonts w:ascii="Arial" w:eastAsia="Times New Roman" w:hAnsi="Arial" w:cs="Arial"/>
          <w:sz w:val="20"/>
          <w:szCs w:val="20"/>
        </w:rPr>
        <w:t xml:space="preserve">oblíbenost </w:t>
      </w:r>
      <w:r>
        <w:rPr>
          <w:rFonts w:ascii="Arial" w:eastAsia="Times New Roman" w:hAnsi="Arial" w:cs="Arial"/>
          <w:sz w:val="20"/>
          <w:szCs w:val="20"/>
        </w:rPr>
        <w:t>5leté fixace sazby vrátila. Aktuálně tato</w:t>
      </w:r>
      <w:r w:rsidRPr="006529D7">
        <w:rPr>
          <w:rFonts w:ascii="Arial" w:eastAsia="Times New Roman" w:hAnsi="Arial" w:cs="Arial"/>
          <w:sz w:val="20"/>
          <w:szCs w:val="20"/>
        </w:rPr>
        <w:t xml:space="preserve"> fixace</w:t>
      </w:r>
      <w:r>
        <w:rPr>
          <w:rFonts w:ascii="Arial" w:eastAsia="Times New Roman" w:hAnsi="Arial" w:cs="Arial"/>
          <w:sz w:val="20"/>
          <w:szCs w:val="20"/>
        </w:rPr>
        <w:t xml:space="preserve"> </w:t>
      </w:r>
      <w:r w:rsidRPr="006529D7">
        <w:rPr>
          <w:rFonts w:ascii="Arial" w:eastAsia="Times New Roman" w:hAnsi="Arial" w:cs="Arial"/>
          <w:sz w:val="20"/>
          <w:szCs w:val="20"/>
        </w:rPr>
        <w:t xml:space="preserve">sjednávána </w:t>
      </w:r>
      <w:r>
        <w:rPr>
          <w:rFonts w:ascii="Arial" w:eastAsia="Times New Roman" w:hAnsi="Arial" w:cs="Arial"/>
          <w:sz w:val="20"/>
          <w:szCs w:val="20"/>
        </w:rPr>
        <w:t>u</w:t>
      </w:r>
      <w:r w:rsidRPr="006529D7">
        <w:rPr>
          <w:rFonts w:ascii="Arial" w:eastAsia="Times New Roman" w:hAnsi="Arial" w:cs="Arial"/>
          <w:sz w:val="20"/>
          <w:szCs w:val="20"/>
        </w:rPr>
        <w:t xml:space="preserve"> více než 70 % </w:t>
      </w:r>
      <w:r>
        <w:rPr>
          <w:rFonts w:ascii="Arial" w:eastAsia="Times New Roman" w:hAnsi="Arial" w:cs="Arial"/>
          <w:sz w:val="20"/>
          <w:szCs w:val="20"/>
        </w:rPr>
        <w:t xml:space="preserve">hypotečních </w:t>
      </w:r>
      <w:r w:rsidRPr="006529D7">
        <w:rPr>
          <w:rFonts w:ascii="Arial" w:eastAsia="Times New Roman" w:hAnsi="Arial" w:cs="Arial"/>
          <w:sz w:val="20"/>
          <w:szCs w:val="20"/>
        </w:rPr>
        <w:t>úvěrů. </w:t>
      </w:r>
    </w:p>
    <w:p w14:paraId="3B520177" w14:textId="6372D15B" w:rsidR="00D74A93" w:rsidRDefault="00D74A93" w:rsidP="006529D7">
      <w:pPr>
        <w:rPr>
          <w:rFonts w:ascii="Arial" w:hAnsi="Arial" w:cs="Arial"/>
          <w:b/>
          <w:sz w:val="18"/>
          <w:szCs w:val="16"/>
        </w:rPr>
      </w:pPr>
    </w:p>
    <w:p w14:paraId="46D6786F" w14:textId="4B7FC46E" w:rsidR="00D40C89" w:rsidRDefault="00D40C89" w:rsidP="006529D7">
      <w:pPr>
        <w:rPr>
          <w:rFonts w:ascii="Arial" w:hAnsi="Arial" w:cs="Arial"/>
          <w:b/>
          <w:sz w:val="18"/>
          <w:szCs w:val="16"/>
        </w:rPr>
      </w:pPr>
    </w:p>
    <w:p w14:paraId="7F9F830E" w14:textId="3E3917D8" w:rsidR="00D40C89" w:rsidRPr="00D40C89" w:rsidRDefault="00D40C89" w:rsidP="006529D7">
      <w:pPr>
        <w:rPr>
          <w:rFonts w:ascii="Arial" w:hAnsi="Arial" w:cs="Arial"/>
          <w:i/>
          <w:color w:val="FF0000"/>
          <w:sz w:val="18"/>
          <w:szCs w:val="16"/>
        </w:rPr>
      </w:pPr>
      <w:r w:rsidRPr="00D40C89">
        <w:rPr>
          <w:rFonts w:ascii="Arial" w:hAnsi="Arial" w:cs="Arial"/>
          <w:i/>
          <w:color w:val="FF0000"/>
          <w:sz w:val="18"/>
          <w:szCs w:val="16"/>
        </w:rPr>
        <w:t xml:space="preserve">POZN.: Graf </w:t>
      </w:r>
      <w:proofErr w:type="spellStart"/>
      <w:r w:rsidRPr="00D40C89">
        <w:rPr>
          <w:rFonts w:ascii="Arial" w:hAnsi="Arial" w:cs="Arial"/>
          <w:i/>
          <w:color w:val="FF0000"/>
          <w:sz w:val="18"/>
          <w:szCs w:val="16"/>
        </w:rPr>
        <w:t>FIXIndexu</w:t>
      </w:r>
      <w:proofErr w:type="spellEnd"/>
      <w:r w:rsidRPr="00D40C89">
        <w:rPr>
          <w:rFonts w:ascii="Arial" w:hAnsi="Arial" w:cs="Arial"/>
          <w:i/>
          <w:color w:val="FF0000"/>
          <w:sz w:val="18"/>
          <w:szCs w:val="16"/>
        </w:rPr>
        <w:t xml:space="preserve"> je k dispozici na následující straně</w:t>
      </w:r>
    </w:p>
    <w:p w14:paraId="5D43E342" w14:textId="39E06B47" w:rsidR="00D74A93" w:rsidRDefault="00FB59EE" w:rsidP="00D40C89">
      <w:pPr>
        <w:jc w:val="center"/>
        <w:rPr>
          <w:rFonts w:ascii="Arial" w:hAnsi="Arial" w:cs="Arial"/>
          <w:b/>
          <w:sz w:val="18"/>
          <w:szCs w:val="16"/>
        </w:rPr>
      </w:pPr>
      <w:r>
        <w:rPr>
          <w:rFonts w:ascii="Arial" w:hAnsi="Arial" w:cs="Arial"/>
          <w:b/>
          <w:sz w:val="18"/>
          <w:szCs w:val="16"/>
        </w:rPr>
        <w:lastRenderedPageBreak/>
        <w:pict w14:anchorId="139B489C">
          <v:shape id="_x0000_i1026" type="#_x0000_t75" style="width:482.2pt;height:274.9pt">
            <v:imagedata r:id="rId26" o:title="GRAF BC FIXIndex 2021"/>
          </v:shape>
        </w:pict>
      </w:r>
    </w:p>
    <w:p w14:paraId="08F3A101" w14:textId="77777777" w:rsidR="00D74A93" w:rsidRDefault="00D74A93" w:rsidP="006529D7">
      <w:pPr>
        <w:rPr>
          <w:rFonts w:ascii="Arial" w:hAnsi="Arial" w:cs="Arial"/>
          <w:b/>
          <w:sz w:val="18"/>
          <w:szCs w:val="16"/>
        </w:rPr>
      </w:pPr>
    </w:p>
    <w:p w14:paraId="5B0B35CC" w14:textId="77777777" w:rsidR="00D40C89" w:rsidRDefault="00D40C89" w:rsidP="006529D7">
      <w:pPr>
        <w:rPr>
          <w:rFonts w:ascii="Arial" w:hAnsi="Arial" w:cs="Arial"/>
          <w:b/>
          <w:sz w:val="18"/>
          <w:szCs w:val="16"/>
        </w:rPr>
      </w:pPr>
    </w:p>
    <w:p w14:paraId="5FCF3C96" w14:textId="040F53B7" w:rsidR="00B01F39" w:rsidRPr="006529D7" w:rsidRDefault="00C947C0" w:rsidP="006529D7">
      <w:pPr>
        <w:rPr>
          <w:rFonts w:ascii="Arial" w:hAnsi="Arial" w:cs="Arial"/>
          <w:sz w:val="18"/>
          <w:szCs w:val="16"/>
        </w:rPr>
      </w:pPr>
      <w:r>
        <w:rPr>
          <w:rFonts w:ascii="Arial" w:hAnsi="Arial" w:cs="Arial"/>
          <w:b/>
          <w:sz w:val="18"/>
          <w:szCs w:val="16"/>
        </w:rPr>
        <w:t>P</w:t>
      </w:r>
      <w:r w:rsidR="00B37F41" w:rsidRPr="00B244B9">
        <w:rPr>
          <w:rFonts w:ascii="Arial" w:hAnsi="Arial" w:cs="Arial"/>
          <w:b/>
          <w:sz w:val="18"/>
          <w:szCs w:val="16"/>
        </w:rPr>
        <w:t>oznámka pro média:</w:t>
      </w:r>
      <w:r w:rsidR="00B37F41" w:rsidRPr="00B244B9">
        <w:rPr>
          <w:rFonts w:ascii="Arial" w:hAnsi="Arial" w:cs="Arial"/>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Indexy</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je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možné</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volně</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spacing w:val="2"/>
          <w:w w:val="105"/>
          <w:sz w:val="18"/>
          <w:szCs w:val="16"/>
        </w:rPr>
        <w:t>publikovat</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pouze</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s</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označením</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„Broker</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w w:val="105"/>
          <w:sz w:val="18"/>
          <w:szCs w:val="16"/>
        </w:rPr>
        <w:t>Consulting</w:t>
      </w:r>
      <w:r w:rsidR="00B37F41" w:rsidRPr="00B244B9">
        <w:rPr>
          <w:rFonts w:ascii="Arial" w:hAnsi="Arial" w:cs="Arial"/>
          <w:color w:val="1D1D1B"/>
          <w:spacing w:val="-8"/>
          <w:w w:val="105"/>
          <w:sz w:val="18"/>
          <w:szCs w:val="16"/>
        </w:rPr>
        <w:t xml:space="preserve"> </w:t>
      </w:r>
      <w:r w:rsidR="00B37F41" w:rsidRPr="00B244B9">
        <w:rPr>
          <w:rFonts w:ascii="Arial" w:hAnsi="Arial" w:cs="Arial"/>
          <w:color w:val="1D1D1B"/>
          <w:w w:val="105"/>
          <w:sz w:val="18"/>
          <w:szCs w:val="16"/>
        </w:rPr>
        <w:t>Index“</w:t>
      </w:r>
      <w:r w:rsidR="00B37F41" w:rsidRPr="00B244B9">
        <w:rPr>
          <w:rFonts w:ascii="Arial" w:hAnsi="Arial" w:cs="Arial"/>
          <w:color w:val="1D1D1B"/>
          <w:spacing w:val="-9"/>
          <w:w w:val="105"/>
          <w:sz w:val="18"/>
          <w:szCs w:val="16"/>
        </w:rPr>
        <w:t xml:space="preserve"> </w:t>
      </w:r>
      <w:r w:rsidR="00B37F41" w:rsidRPr="00B244B9">
        <w:rPr>
          <w:rFonts w:ascii="Arial" w:hAnsi="Arial" w:cs="Arial"/>
          <w:color w:val="1D1D1B"/>
          <w:spacing w:val="-3"/>
          <w:w w:val="105"/>
          <w:sz w:val="18"/>
          <w:szCs w:val="16"/>
        </w:rPr>
        <w:t>(</w:t>
      </w:r>
      <w:r w:rsidR="00B37F41" w:rsidRPr="00B244B9">
        <w:rPr>
          <w:rFonts w:ascii="Arial" w:hAnsi="Arial" w:cs="Arial"/>
          <w:i/>
          <w:color w:val="1D1D1B"/>
          <w:spacing w:val="-3"/>
          <w:w w:val="105"/>
          <w:sz w:val="18"/>
          <w:szCs w:val="16"/>
        </w:rPr>
        <w:t>např.</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Broker</w:t>
      </w:r>
      <w:r w:rsidR="00B37F41" w:rsidRPr="00B244B9">
        <w:rPr>
          <w:rFonts w:ascii="Arial" w:hAnsi="Arial" w:cs="Arial"/>
          <w:i/>
          <w:color w:val="1D1D1B"/>
          <w:spacing w:val="-9"/>
          <w:w w:val="105"/>
          <w:sz w:val="18"/>
          <w:szCs w:val="16"/>
        </w:rPr>
        <w:t xml:space="preserve"> </w:t>
      </w:r>
      <w:r w:rsidR="00B37F41" w:rsidRPr="00B244B9">
        <w:rPr>
          <w:rFonts w:ascii="Arial" w:hAnsi="Arial" w:cs="Arial"/>
          <w:i/>
          <w:color w:val="1D1D1B"/>
          <w:w w:val="105"/>
          <w:sz w:val="18"/>
          <w:szCs w:val="16"/>
        </w:rPr>
        <w:t>Consulting</w:t>
      </w:r>
      <w:r w:rsidR="00B37F41" w:rsidRPr="00B244B9">
        <w:rPr>
          <w:rFonts w:ascii="Arial" w:hAnsi="Arial" w:cs="Arial"/>
          <w:i/>
          <w:color w:val="1D1D1B"/>
          <w:spacing w:val="-8"/>
          <w:w w:val="105"/>
          <w:sz w:val="18"/>
          <w:szCs w:val="16"/>
        </w:rPr>
        <w:t xml:space="preserve"> </w:t>
      </w:r>
      <w:r w:rsidR="00B37F41" w:rsidRPr="00B244B9">
        <w:rPr>
          <w:rFonts w:ascii="Arial" w:hAnsi="Arial" w:cs="Arial"/>
          <w:i/>
          <w:color w:val="1D1D1B"/>
          <w:w w:val="105"/>
          <w:sz w:val="18"/>
          <w:szCs w:val="16"/>
        </w:rPr>
        <w:t>index</w:t>
      </w:r>
      <w:r w:rsidR="00B37F41" w:rsidRPr="0013512D">
        <w:rPr>
          <w:rFonts w:ascii="Arial" w:hAnsi="Arial" w:cs="Arial"/>
          <w:i/>
          <w:color w:val="1D1D1B"/>
          <w:w w:val="105"/>
          <w:sz w:val="18"/>
          <w:szCs w:val="16"/>
        </w:rPr>
        <w:t xml:space="preserve"> </w:t>
      </w:r>
      <w:r w:rsidR="00B37F41" w:rsidRPr="00B244B9">
        <w:rPr>
          <w:rFonts w:ascii="Arial" w:hAnsi="Arial" w:cs="Arial"/>
          <w:i/>
          <w:color w:val="1D1D1B"/>
          <w:w w:val="105"/>
          <w:sz w:val="18"/>
          <w:szCs w:val="16"/>
        </w:rPr>
        <w:t>hypot</w:t>
      </w:r>
      <w:r w:rsidR="00830CE8">
        <w:rPr>
          <w:rFonts w:ascii="Arial" w:hAnsi="Arial" w:cs="Arial"/>
          <w:i/>
          <w:color w:val="1D1D1B"/>
          <w:w w:val="105"/>
          <w:sz w:val="18"/>
          <w:szCs w:val="16"/>
        </w:rPr>
        <w:t>e</w:t>
      </w:r>
      <w:r w:rsidR="00B37F41" w:rsidRPr="00B244B9">
        <w:rPr>
          <w:rFonts w:ascii="Arial" w:hAnsi="Arial" w:cs="Arial"/>
          <w:i/>
          <w:color w:val="1D1D1B"/>
          <w:w w:val="105"/>
          <w:sz w:val="18"/>
          <w:szCs w:val="16"/>
        </w:rPr>
        <w:t>ční</w:t>
      </w:r>
      <w:r w:rsidR="00B37F41">
        <w:rPr>
          <w:rFonts w:ascii="Arial" w:hAnsi="Arial" w:cs="Arial"/>
          <w:i/>
          <w:color w:val="1D1D1B"/>
          <w:w w:val="105"/>
          <w:sz w:val="18"/>
          <w:szCs w:val="16"/>
        </w:rPr>
        <w:t>ch úvěrů</w:t>
      </w:r>
      <w:r w:rsidR="00B37F41" w:rsidRPr="00B244B9">
        <w:rPr>
          <w:rFonts w:ascii="Arial" w:hAnsi="Arial" w:cs="Arial"/>
          <w:i/>
          <w:color w:val="1D1D1B"/>
          <w:w w:val="105"/>
          <w:sz w:val="18"/>
          <w:szCs w:val="16"/>
        </w:rPr>
        <w:t xml:space="preserve">). Více informací najdete též na webu </w:t>
      </w:r>
      <w:r w:rsidR="00B37F41" w:rsidRPr="0013512D">
        <w:rPr>
          <w:rStyle w:val="Hypertextovodkaz"/>
          <w:rFonts w:ascii="Arial" w:hAnsi="Arial" w:cs="Arial"/>
          <w:i/>
          <w:w w:val="105"/>
          <w:sz w:val="18"/>
          <w:szCs w:val="16"/>
        </w:rPr>
        <w:t>https://www.bcas.cz/onas/pro-media/</w:t>
      </w:r>
      <w:r w:rsidR="00B37F41" w:rsidRPr="00B244B9">
        <w:rPr>
          <w:rFonts w:ascii="Arial" w:hAnsi="Arial" w:cs="Arial"/>
          <w:i/>
          <w:color w:val="1D1D1B"/>
          <w:w w:val="105"/>
          <w:sz w:val="18"/>
          <w:szCs w:val="16"/>
        </w:rPr>
        <w:t xml:space="preserve">. </w:t>
      </w:r>
    </w:p>
    <w:p w14:paraId="3523AF20" w14:textId="372AA615" w:rsidR="00B01F39" w:rsidRDefault="00B01F39" w:rsidP="0073009C">
      <w:pPr>
        <w:jc w:val="both"/>
        <w:rPr>
          <w:rFonts w:ascii="Arial" w:hAnsi="Arial" w:cs="Arial"/>
          <w:b/>
          <w:sz w:val="18"/>
          <w:szCs w:val="20"/>
        </w:rPr>
      </w:pPr>
    </w:p>
    <w:p w14:paraId="7A3233B0" w14:textId="77777777" w:rsidR="00B01F39" w:rsidRDefault="00B01F39" w:rsidP="0073009C">
      <w:pPr>
        <w:jc w:val="both"/>
        <w:rPr>
          <w:rFonts w:ascii="Arial" w:hAnsi="Arial" w:cs="Arial"/>
          <w:b/>
          <w:sz w:val="18"/>
          <w:szCs w:val="20"/>
        </w:rPr>
      </w:pPr>
    </w:p>
    <w:p w14:paraId="7DF3747A" w14:textId="21E317EA" w:rsidR="00B37F41" w:rsidRPr="00C222E1" w:rsidRDefault="00B37F41" w:rsidP="0073009C">
      <w:pPr>
        <w:jc w:val="both"/>
        <w:rPr>
          <w:rFonts w:ascii="Arial" w:hAnsi="Arial" w:cs="Arial"/>
          <w:sz w:val="18"/>
          <w:szCs w:val="20"/>
        </w:rPr>
      </w:pPr>
      <w:r w:rsidRPr="00DC49D5">
        <w:rPr>
          <w:rFonts w:ascii="Arial" w:hAnsi="Arial" w:cs="Arial"/>
          <w:b/>
          <w:sz w:val="18"/>
          <w:szCs w:val="20"/>
        </w:rPr>
        <w:t>Broker Consulting Index hypot</w:t>
      </w:r>
      <w:r>
        <w:rPr>
          <w:rFonts w:ascii="Arial" w:hAnsi="Arial" w:cs="Arial"/>
          <w:b/>
          <w:sz w:val="18"/>
          <w:szCs w:val="20"/>
        </w:rPr>
        <w:t>e</w:t>
      </w:r>
      <w:r w:rsidRPr="00DC49D5">
        <w:rPr>
          <w:rFonts w:ascii="Arial" w:hAnsi="Arial" w:cs="Arial"/>
          <w:b/>
          <w:sz w:val="18"/>
          <w:szCs w:val="20"/>
        </w:rPr>
        <w:t>čních úvěrů</w:t>
      </w:r>
      <w:r w:rsidRPr="00C222E1">
        <w:rPr>
          <w:rFonts w:ascii="Arial" w:hAnsi="Arial" w:cs="Arial"/>
          <w:sz w:val="18"/>
          <w:szCs w:val="20"/>
        </w:rPr>
        <w:t xml:space="preserve"> je analytický nástroj, který ukazuje p</w:t>
      </w:r>
      <w:r w:rsidR="00830CE8">
        <w:rPr>
          <w:rFonts w:ascii="Arial" w:hAnsi="Arial" w:cs="Arial"/>
          <w:sz w:val="18"/>
          <w:szCs w:val="20"/>
        </w:rPr>
        <w:t>růměrnou úrokovou sazbu u hypote</w:t>
      </w:r>
      <w:r w:rsidRPr="00C222E1">
        <w:rPr>
          <w:rFonts w:ascii="Arial" w:hAnsi="Arial" w:cs="Arial"/>
          <w:sz w:val="18"/>
          <w:szCs w:val="20"/>
        </w:rPr>
        <w:t>čních úvěrů, jež zprostředkovali konzultanti Broker Consulting a pobočky OK POINT u kteréhokoli poskytovatele hypotečních úvěrů. Jedná se o vážený aritmetický průměr, kdy hlavní vahou je objem úvěru. Tedy čím vyšší úvěr, tím jeho sazba do indexu vstupuje větší vahou. Výhodou metody výpočtu je skutečnost, že se do statistiky dostávají pouze skutečně schválené úvěry</w:t>
      </w:r>
      <w:r w:rsidR="00F84A4F">
        <w:rPr>
          <w:rFonts w:ascii="Arial" w:hAnsi="Arial" w:cs="Arial"/>
          <w:sz w:val="18"/>
          <w:szCs w:val="20"/>
        </w:rPr>
        <w:t>,</w:t>
      </w:r>
      <w:r w:rsidRPr="00C222E1">
        <w:rPr>
          <w:rFonts w:ascii="Arial" w:hAnsi="Arial" w:cs="Arial"/>
          <w:sz w:val="18"/>
          <w:szCs w:val="20"/>
        </w:rPr>
        <w:t xml:space="preserve"> a to bez výjimky všechny. </w:t>
      </w:r>
      <w:r w:rsidR="00830CE8">
        <w:rPr>
          <w:rFonts w:ascii="Arial" w:hAnsi="Arial" w:cs="Arial"/>
          <w:sz w:val="18"/>
          <w:szCs w:val="20"/>
        </w:rPr>
        <w:t xml:space="preserve"> </w:t>
      </w:r>
      <w:r w:rsidRPr="00C222E1">
        <w:rPr>
          <w:rFonts w:ascii="Arial" w:hAnsi="Arial" w:cs="Arial"/>
          <w:sz w:val="18"/>
          <w:szCs w:val="20"/>
        </w:rPr>
        <w:t xml:space="preserve">Nemůže </w:t>
      </w:r>
      <w:r w:rsidR="00F84A4F">
        <w:rPr>
          <w:rFonts w:ascii="Arial" w:hAnsi="Arial" w:cs="Arial"/>
          <w:sz w:val="18"/>
          <w:szCs w:val="20"/>
        </w:rPr>
        <w:t xml:space="preserve">tak </w:t>
      </w:r>
      <w:r w:rsidRPr="00C222E1">
        <w:rPr>
          <w:rFonts w:ascii="Arial" w:hAnsi="Arial" w:cs="Arial"/>
          <w:sz w:val="18"/>
          <w:szCs w:val="20"/>
        </w:rPr>
        <w:t xml:space="preserve">dojít ke zkreslení informací a index není závislý na dodávkách třetích stran. V principu se index počítá ze sazeb, které jsou v danou chvíli pro daného klienta nejnižší na trhu nebo se nejnižší hranici přibližují, neboť klient si vybírá z mnoha možností, které mu trh v danou chvíli nabízí. A většinou si vybírá právě nejnižší sazbu úvěru, který i v jiných parametrech splňuje jejich podmínky. Broker Consulting ročně zprostředkuje úvěry v objemu </w:t>
      </w:r>
      <w:r w:rsidR="004B64B3">
        <w:rPr>
          <w:rFonts w:ascii="Arial" w:hAnsi="Arial" w:cs="Arial"/>
          <w:sz w:val="18"/>
          <w:szCs w:val="20"/>
        </w:rPr>
        <w:t xml:space="preserve">přesahujícím 13 miliard </w:t>
      </w:r>
      <w:r w:rsidRPr="00C222E1">
        <w:rPr>
          <w:rFonts w:ascii="Arial" w:hAnsi="Arial" w:cs="Arial"/>
          <w:sz w:val="18"/>
          <w:szCs w:val="20"/>
        </w:rPr>
        <w:t xml:space="preserve">korun. </w:t>
      </w:r>
    </w:p>
    <w:p w14:paraId="3047FCF7" w14:textId="23B73430" w:rsidR="00833A44" w:rsidRDefault="00833A44" w:rsidP="00B27178">
      <w:pPr>
        <w:jc w:val="both"/>
      </w:pPr>
    </w:p>
    <w:p w14:paraId="028DF05C" w14:textId="77777777" w:rsidR="00D40C89" w:rsidRPr="008957C5" w:rsidRDefault="00D40C89" w:rsidP="00D40C89">
      <w:pPr>
        <w:jc w:val="both"/>
        <w:rPr>
          <w:rFonts w:ascii="Arial" w:hAnsi="Arial" w:cs="Arial"/>
          <w:sz w:val="18"/>
          <w:szCs w:val="20"/>
        </w:rPr>
      </w:pPr>
      <w:r w:rsidRPr="008957C5">
        <w:rPr>
          <w:rFonts w:ascii="Arial" w:hAnsi="Arial" w:cs="Arial"/>
          <w:b/>
          <w:sz w:val="18"/>
          <w:szCs w:val="20"/>
        </w:rPr>
        <w:t xml:space="preserve">Broker Consulting </w:t>
      </w:r>
      <w:proofErr w:type="spellStart"/>
      <w:r w:rsidRPr="008957C5">
        <w:rPr>
          <w:rFonts w:ascii="Arial" w:hAnsi="Arial" w:cs="Arial"/>
          <w:b/>
          <w:sz w:val="18"/>
          <w:szCs w:val="20"/>
        </w:rPr>
        <w:t>FIXIndex</w:t>
      </w:r>
      <w:proofErr w:type="spellEnd"/>
      <w:r w:rsidRPr="008957C5">
        <w:rPr>
          <w:rFonts w:ascii="Arial" w:hAnsi="Arial" w:cs="Arial"/>
          <w:sz w:val="18"/>
          <w:szCs w:val="20"/>
        </w:rPr>
        <w:t xml:space="preserve"> je analytický nástroj, který sleduje, jakou měrou jsou jednotlivé fixace úrokových sazeb (na 3, 5, 7 a 10 let) zastoupeny v celkovém objemu hypotečních úvěrů</w:t>
      </w:r>
      <w:r>
        <w:rPr>
          <w:rFonts w:ascii="Arial" w:hAnsi="Arial" w:cs="Arial"/>
          <w:sz w:val="18"/>
          <w:szCs w:val="20"/>
        </w:rPr>
        <w:t>.</w:t>
      </w:r>
      <w:r w:rsidRPr="008957C5">
        <w:rPr>
          <w:rFonts w:ascii="Arial" w:hAnsi="Arial" w:cs="Arial"/>
          <w:sz w:val="18"/>
          <w:szCs w:val="20"/>
        </w:rPr>
        <w:t xml:space="preserve"> </w:t>
      </w:r>
      <w:proofErr w:type="spellStart"/>
      <w:r w:rsidRPr="008957C5">
        <w:rPr>
          <w:rFonts w:ascii="Arial" w:hAnsi="Arial" w:cs="Arial"/>
          <w:sz w:val="18"/>
          <w:szCs w:val="20"/>
        </w:rPr>
        <w:t>FIXIndex</w:t>
      </w:r>
      <w:proofErr w:type="spellEnd"/>
      <w:r w:rsidRPr="008957C5">
        <w:rPr>
          <w:rFonts w:ascii="Arial" w:hAnsi="Arial" w:cs="Arial"/>
          <w:sz w:val="18"/>
          <w:szCs w:val="20"/>
        </w:rPr>
        <w:t xml:space="preserve"> tedy názorně ukazuje, jaké fixace jsou u klientů nejžádanější.</w:t>
      </w:r>
    </w:p>
    <w:p w14:paraId="4659EAB5" w14:textId="77777777" w:rsidR="00D40C89" w:rsidRDefault="00D40C89" w:rsidP="00B27178">
      <w:pPr>
        <w:jc w:val="both"/>
      </w:pPr>
    </w:p>
    <w:p w14:paraId="3371DDD3" w14:textId="77777777" w:rsidR="00B37F41" w:rsidRPr="0025264B" w:rsidRDefault="00B37F41" w:rsidP="00B27178">
      <w:pPr>
        <w:jc w:val="both"/>
      </w:pPr>
    </w:p>
    <w:p w14:paraId="58F041AC" w14:textId="4EDC3CAC" w:rsidR="00692610" w:rsidRPr="00D60D98" w:rsidRDefault="00692610" w:rsidP="00B27178">
      <w:pPr>
        <w:jc w:val="both"/>
        <w:rPr>
          <w:rFonts w:ascii="Arial" w:eastAsia="Calibri" w:hAnsi="Arial" w:cs="Arial"/>
          <w:b/>
          <w:bCs/>
          <w:noProof/>
          <w:sz w:val="20"/>
          <w:szCs w:val="20"/>
        </w:rPr>
      </w:pPr>
    </w:p>
    <w:p w14:paraId="7C1907C0" w14:textId="1D2EC938" w:rsidR="00D60D98" w:rsidRPr="0073009C" w:rsidRDefault="00D60D98" w:rsidP="00D60D98">
      <w:pPr>
        <w:rPr>
          <w:rFonts w:ascii="Arial" w:eastAsia="Calibri" w:hAnsi="Arial" w:cs="Arial"/>
          <w:b/>
          <w:bCs/>
          <w:noProof/>
          <w:sz w:val="18"/>
          <w:szCs w:val="18"/>
        </w:rPr>
      </w:pPr>
      <w:r w:rsidRPr="0073009C">
        <w:rPr>
          <w:rFonts w:ascii="Arial" w:eastAsia="Calibri" w:hAnsi="Arial" w:cs="Arial"/>
          <w:b/>
          <w:bCs/>
          <w:noProof/>
          <w:sz w:val="18"/>
          <w:szCs w:val="18"/>
        </w:rPr>
        <w:t>Kontakt pro média:</w:t>
      </w:r>
    </w:p>
    <w:p w14:paraId="090F1F41" w14:textId="2F88DEFA" w:rsidR="00B37F41" w:rsidRPr="0073009C" w:rsidRDefault="00B37F41" w:rsidP="00D60D98">
      <w:pPr>
        <w:rPr>
          <w:rFonts w:ascii="Arial" w:eastAsia="Calibri" w:hAnsi="Arial" w:cs="Arial"/>
          <w:bCs/>
          <w:noProof/>
          <w:sz w:val="18"/>
          <w:szCs w:val="18"/>
        </w:rPr>
      </w:pPr>
    </w:p>
    <w:p w14:paraId="459105C8" w14:textId="77777777" w:rsidR="00692610" w:rsidRPr="0073009C" w:rsidRDefault="00692610" w:rsidP="00692610">
      <w:pPr>
        <w:rPr>
          <w:rFonts w:ascii="Arial" w:eastAsia="Calibri" w:hAnsi="Arial" w:cs="Arial"/>
          <w:bCs/>
          <w:noProof/>
          <w:sz w:val="18"/>
          <w:szCs w:val="18"/>
          <w:lang w:bidi="ar-SA"/>
        </w:rPr>
      </w:pPr>
      <w:r w:rsidRPr="0073009C">
        <w:rPr>
          <w:rFonts w:ascii="Arial" w:eastAsia="Calibri" w:hAnsi="Arial" w:cs="Arial"/>
          <w:bCs/>
          <w:noProof/>
          <w:sz w:val="18"/>
          <w:szCs w:val="18"/>
        </w:rPr>
        <w:t>Tereza Kunová</w:t>
      </w:r>
    </w:p>
    <w:p w14:paraId="679794E2"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Specialistka PR a externí komunikace</w:t>
      </w:r>
    </w:p>
    <w:p w14:paraId="3D378A07" w14:textId="77777777" w:rsidR="00692610" w:rsidRPr="0073009C" w:rsidRDefault="00692610" w:rsidP="00692610">
      <w:pPr>
        <w:pStyle w:val="Bezmezer"/>
        <w:rPr>
          <w:rFonts w:ascii="Arial" w:eastAsia="Calibri" w:hAnsi="Arial" w:cs="Arial"/>
          <w:noProof/>
          <w:sz w:val="18"/>
          <w:szCs w:val="18"/>
        </w:rPr>
      </w:pPr>
      <w:r w:rsidRPr="0073009C">
        <w:rPr>
          <w:rFonts w:ascii="Arial" w:eastAsia="Calibri" w:hAnsi="Arial" w:cs="Arial"/>
          <w:noProof/>
          <w:sz w:val="18"/>
          <w:szCs w:val="18"/>
        </w:rPr>
        <w:t>Mobil: +420 731 537 716</w:t>
      </w:r>
    </w:p>
    <w:p w14:paraId="16B705EA" w14:textId="77777777" w:rsidR="00692610" w:rsidRPr="0073009C" w:rsidRDefault="00692610" w:rsidP="00692610">
      <w:pPr>
        <w:rPr>
          <w:rFonts w:ascii="Arial" w:eastAsia="Calibri" w:hAnsi="Arial" w:cs="Arial"/>
          <w:noProof/>
          <w:sz w:val="18"/>
          <w:szCs w:val="18"/>
        </w:rPr>
      </w:pPr>
      <w:r w:rsidRPr="0073009C">
        <w:rPr>
          <w:rFonts w:ascii="Arial" w:eastAsia="Calibri" w:hAnsi="Arial" w:cs="Arial"/>
          <w:noProof/>
          <w:sz w:val="18"/>
          <w:szCs w:val="18"/>
        </w:rPr>
        <w:t xml:space="preserve">E-mail: </w:t>
      </w:r>
      <w:hyperlink r:id="rId27" w:history="1">
        <w:r w:rsidRPr="0073009C">
          <w:rPr>
            <w:rStyle w:val="Hypertextovodkaz"/>
            <w:rFonts w:ascii="Arial" w:eastAsia="Calibri" w:hAnsi="Arial" w:cs="Arial"/>
            <w:noProof/>
            <w:sz w:val="18"/>
            <w:szCs w:val="18"/>
          </w:rPr>
          <w:t>tereza.kunova@bcas.cz</w:t>
        </w:r>
      </w:hyperlink>
      <w:r w:rsidRPr="0073009C">
        <w:rPr>
          <w:rFonts w:ascii="Arial" w:eastAsia="Calibri" w:hAnsi="Arial" w:cs="Arial"/>
          <w:noProof/>
          <w:sz w:val="18"/>
          <w:szCs w:val="18"/>
        </w:rPr>
        <w:t xml:space="preserve"> </w:t>
      </w:r>
    </w:p>
    <w:p w14:paraId="066A8D8C" w14:textId="77777777" w:rsidR="00692610" w:rsidRPr="0073009C" w:rsidRDefault="00692610" w:rsidP="00692610">
      <w:pPr>
        <w:rPr>
          <w:rFonts w:ascii="Arial" w:eastAsia="Calibri" w:hAnsi="Arial" w:cs="Arial"/>
          <w:bCs/>
          <w:noProof/>
          <w:sz w:val="18"/>
          <w:szCs w:val="18"/>
        </w:rPr>
      </w:pPr>
    </w:p>
    <w:p w14:paraId="025F1B2F" w14:textId="70837378" w:rsidR="00D60D98" w:rsidRPr="002B2A94" w:rsidRDefault="00D60D98" w:rsidP="002B2A94">
      <w:pPr>
        <w:rPr>
          <w:rFonts w:ascii="Arial" w:eastAsia="Calibri" w:hAnsi="Arial" w:cs="Arial"/>
          <w:b/>
          <w:bCs/>
          <w:noProof/>
          <w:sz w:val="18"/>
          <w:szCs w:val="18"/>
          <w:lang w:bidi="ar-SA"/>
        </w:rPr>
      </w:pPr>
    </w:p>
    <w:sectPr w:rsidR="00D60D98" w:rsidRPr="002B2A94" w:rsidSect="001675AF">
      <w:type w:val="continuous"/>
      <w:pgSz w:w="11910" w:h="16840"/>
      <w:pgMar w:top="960" w:right="740" w:bottom="2127" w:left="720" w:header="708" w:footer="1136" w:gutter="0"/>
      <w:cols w:space="708"/>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466332" w16cex:dateUtc="2021-05-12T12:22:00Z"/>
  <w16cex:commentExtensible w16cex:durableId="244663CA" w16cex:dateUtc="2021-05-12T12:25:00Z"/>
  <w16cex:commentExtensible w16cex:durableId="244663FE" w16cex:dateUtc="2021-05-12T12:26:00Z"/>
  <w16cex:commentExtensible w16cex:durableId="2446640F" w16cex:dateUtc="2021-05-12T12:26:00Z"/>
  <w16cex:commentExtensible w16cex:durableId="24466467" w16cex:dateUtc="2021-05-12T12:27:00Z"/>
  <w16cex:commentExtensible w16cex:durableId="244664CD" w16cex:dateUtc="2021-05-12T12:29:00Z"/>
  <w16cex:commentExtensible w16cex:durableId="24466562" w16cex:dateUtc="2021-05-12T12:32:00Z"/>
  <w16cex:commentExtensible w16cex:durableId="24466590" w16cex:dateUtc="2021-05-12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E1C0C29" w16cid:durableId="24466332"/>
  <w16cid:commentId w16cid:paraId="6E758CA0" w16cid:durableId="244663CA"/>
  <w16cid:commentId w16cid:paraId="682081AB" w16cid:durableId="244663FE"/>
  <w16cid:commentId w16cid:paraId="15737A89" w16cid:durableId="2446640F"/>
  <w16cid:commentId w16cid:paraId="704D4E12" w16cid:durableId="24466467"/>
  <w16cid:commentId w16cid:paraId="4EE48CFB" w16cid:durableId="244664CD"/>
  <w16cid:commentId w16cid:paraId="6A8E62A2" w16cid:durableId="24466562"/>
  <w16cid:commentId w16cid:paraId="76876CCC" w16cid:durableId="2446659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702DC8B" w14:textId="77777777" w:rsidR="0059432A" w:rsidRDefault="0059432A">
      <w:r>
        <w:separator/>
      </w:r>
    </w:p>
  </w:endnote>
  <w:endnote w:type="continuationSeparator" w:id="0">
    <w:p w14:paraId="1ABD256C" w14:textId="77777777" w:rsidR="0059432A" w:rsidRDefault="00594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59432A"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8269F5"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59432A"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8269F5"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59432A"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8269F5"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D71CFB" w14:textId="77777777" w:rsidR="0059432A" w:rsidRDefault="0059432A">
      <w:r>
        <w:separator/>
      </w:r>
    </w:p>
  </w:footnote>
  <w:footnote w:type="continuationSeparator" w:id="0">
    <w:p w14:paraId="7F5E2F2A" w14:textId="77777777" w:rsidR="0059432A" w:rsidRDefault="005943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E95698" w:rsidRDefault="00D80B6D" w:rsidP="00E95698">
    <w:pPr>
      <w:tabs>
        <w:tab w:val="left" w:pos="8633"/>
      </w:tabs>
      <w:spacing w:before="80"/>
      <w:ind w:firstLine="2880"/>
      <w:rPr>
        <w:rFonts w:ascii="Arial" w:hAnsi="Arial" w:cs="Arial"/>
        <w:sz w:val="52"/>
      </w:rPr>
    </w:pPr>
    <w:r w:rsidRPr="00E95698">
      <w:rPr>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E95698">
      <w:rPr>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2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E95698">
      <w:rPr>
        <w:rFonts w:ascii="Arial" w:hAnsi="Arial" w:cs="Arial"/>
        <w:color w:val="1D1D1B"/>
        <w:sz w:val="48"/>
      </w:rPr>
      <w:t xml:space="preserve">BROKER CONSULTING </w:t>
    </w:r>
    <w:r w:rsidRPr="00E95698">
      <w:rPr>
        <w:rFonts w:ascii="Arial" w:hAnsi="Arial" w:cs="Arial"/>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3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43C085E5" w14:textId="62CDD8CE" w:rsidR="000F4B6C" w:rsidRDefault="00D40C89"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Pr>
        <w:rFonts w:ascii="Arial" w:hAnsi="Arial" w:cs="Arial"/>
        <w:color w:val="E52713"/>
        <w:sz w:val="28"/>
        <w:szCs w:val="28"/>
      </w:rPr>
      <w:t>HYPOTEČNÍCH ÚVĚRŮ &amp; FIXINDEX</w:t>
    </w:r>
  </w:p>
  <w:p w14:paraId="0E033147" w14:textId="77777777" w:rsidR="00D40C89" w:rsidRPr="00D40C89" w:rsidRDefault="00D40C89" w:rsidP="00D40C89">
    <w:pPr>
      <w:spacing w:before="85"/>
      <w:ind w:left="1440" w:firstLine="720"/>
      <w:rPr>
        <w:rFonts w:ascii="Arial" w:hAnsi="Arial" w:cs="Arial"/>
        <w:color w:val="E52713"/>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3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3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3FF270D6" w14:textId="6799F236" w:rsidR="00D40C89" w:rsidRPr="00D40C89" w:rsidRDefault="009F59EE" w:rsidP="00D40C89">
    <w:pPr>
      <w:spacing w:before="85"/>
      <w:ind w:left="1440" w:firstLine="720"/>
      <w:rPr>
        <w:rFonts w:ascii="Arial" w:hAnsi="Arial" w:cs="Arial"/>
        <w:color w:val="E52713"/>
        <w:sz w:val="28"/>
        <w:szCs w:val="28"/>
      </w:rPr>
    </w:pPr>
    <w:r w:rsidRPr="00B65A3B">
      <w:rPr>
        <w:rFonts w:ascii="Arial" w:hAnsi="Arial" w:cs="Arial"/>
        <w:color w:val="E52713"/>
        <w:sz w:val="28"/>
        <w:szCs w:val="28"/>
      </w:rPr>
      <w:t xml:space="preserve">INDEX </w:t>
    </w:r>
    <w:r w:rsidR="002A1185">
      <w:rPr>
        <w:rFonts w:ascii="Arial" w:hAnsi="Arial" w:cs="Arial"/>
        <w:color w:val="E52713"/>
        <w:sz w:val="28"/>
        <w:szCs w:val="28"/>
      </w:rPr>
      <w:t>HYPOTEČNÍCH ÚVĚRŮ</w:t>
    </w:r>
    <w:r w:rsidR="00D40C89">
      <w:rPr>
        <w:rFonts w:ascii="Arial" w:hAnsi="Arial" w:cs="Arial"/>
        <w:color w:val="E52713"/>
        <w:sz w:val="28"/>
        <w:szCs w:val="28"/>
      </w:rPr>
      <w:t xml:space="preserve"> &amp; FIXINDEX</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1"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14FB5"/>
    <w:rsid w:val="00020EC7"/>
    <w:rsid w:val="00026F23"/>
    <w:rsid w:val="000277AC"/>
    <w:rsid w:val="0003028F"/>
    <w:rsid w:val="00032D94"/>
    <w:rsid w:val="000374D7"/>
    <w:rsid w:val="00037DAF"/>
    <w:rsid w:val="000400E4"/>
    <w:rsid w:val="0004477D"/>
    <w:rsid w:val="00044EC5"/>
    <w:rsid w:val="00045D86"/>
    <w:rsid w:val="0005423A"/>
    <w:rsid w:val="000611E3"/>
    <w:rsid w:val="000766E7"/>
    <w:rsid w:val="00081616"/>
    <w:rsid w:val="0008331F"/>
    <w:rsid w:val="000851AC"/>
    <w:rsid w:val="000853D4"/>
    <w:rsid w:val="00096425"/>
    <w:rsid w:val="0009776B"/>
    <w:rsid w:val="000A080B"/>
    <w:rsid w:val="000B187C"/>
    <w:rsid w:val="000C2DA6"/>
    <w:rsid w:val="000D14E2"/>
    <w:rsid w:val="000D7158"/>
    <w:rsid w:val="000E01C2"/>
    <w:rsid w:val="000E19B2"/>
    <w:rsid w:val="000E3D86"/>
    <w:rsid w:val="000E5D32"/>
    <w:rsid w:val="000E6E14"/>
    <w:rsid w:val="000F4B6C"/>
    <w:rsid w:val="000F6249"/>
    <w:rsid w:val="001117DE"/>
    <w:rsid w:val="00111C28"/>
    <w:rsid w:val="001214E7"/>
    <w:rsid w:val="00126BEC"/>
    <w:rsid w:val="0013044E"/>
    <w:rsid w:val="00131A69"/>
    <w:rsid w:val="00136D8D"/>
    <w:rsid w:val="00137003"/>
    <w:rsid w:val="0013717C"/>
    <w:rsid w:val="00140987"/>
    <w:rsid w:val="001524FB"/>
    <w:rsid w:val="00156082"/>
    <w:rsid w:val="00160686"/>
    <w:rsid w:val="00162D8E"/>
    <w:rsid w:val="001675AF"/>
    <w:rsid w:val="00174317"/>
    <w:rsid w:val="001767A5"/>
    <w:rsid w:val="00192716"/>
    <w:rsid w:val="00194831"/>
    <w:rsid w:val="00194B5D"/>
    <w:rsid w:val="001A1A56"/>
    <w:rsid w:val="001A2D08"/>
    <w:rsid w:val="001A54DD"/>
    <w:rsid w:val="001A7D2F"/>
    <w:rsid w:val="001B3B31"/>
    <w:rsid w:val="001B501B"/>
    <w:rsid w:val="001D015A"/>
    <w:rsid w:val="001D3DFC"/>
    <w:rsid w:val="001D5EFC"/>
    <w:rsid w:val="001E1597"/>
    <w:rsid w:val="001E4209"/>
    <w:rsid w:val="001F7194"/>
    <w:rsid w:val="001F71BA"/>
    <w:rsid w:val="002019F3"/>
    <w:rsid w:val="0020207A"/>
    <w:rsid w:val="00202F22"/>
    <w:rsid w:val="002141AF"/>
    <w:rsid w:val="00220529"/>
    <w:rsid w:val="00223FFD"/>
    <w:rsid w:val="00224AF1"/>
    <w:rsid w:val="00224E6E"/>
    <w:rsid w:val="00225D70"/>
    <w:rsid w:val="00233BF3"/>
    <w:rsid w:val="002368F3"/>
    <w:rsid w:val="00241313"/>
    <w:rsid w:val="0024212A"/>
    <w:rsid w:val="0025080B"/>
    <w:rsid w:val="0025264B"/>
    <w:rsid w:val="00253C9E"/>
    <w:rsid w:val="0025428A"/>
    <w:rsid w:val="002555D2"/>
    <w:rsid w:val="00257978"/>
    <w:rsid w:val="002619DC"/>
    <w:rsid w:val="00270DB3"/>
    <w:rsid w:val="00277D20"/>
    <w:rsid w:val="00280730"/>
    <w:rsid w:val="00281C61"/>
    <w:rsid w:val="00285767"/>
    <w:rsid w:val="002863CE"/>
    <w:rsid w:val="002A1185"/>
    <w:rsid w:val="002B2A94"/>
    <w:rsid w:val="002B6F4E"/>
    <w:rsid w:val="002C0E94"/>
    <w:rsid w:val="002C6C42"/>
    <w:rsid w:val="002D3534"/>
    <w:rsid w:val="002D49F7"/>
    <w:rsid w:val="002D64A2"/>
    <w:rsid w:val="002E0400"/>
    <w:rsid w:val="002E1A01"/>
    <w:rsid w:val="002F002B"/>
    <w:rsid w:val="002F485A"/>
    <w:rsid w:val="002F7EC2"/>
    <w:rsid w:val="003015E0"/>
    <w:rsid w:val="00303A6E"/>
    <w:rsid w:val="00307E95"/>
    <w:rsid w:val="00307FEB"/>
    <w:rsid w:val="003128F8"/>
    <w:rsid w:val="00322E5E"/>
    <w:rsid w:val="003243A6"/>
    <w:rsid w:val="003247B0"/>
    <w:rsid w:val="00330918"/>
    <w:rsid w:val="003337A9"/>
    <w:rsid w:val="00340E70"/>
    <w:rsid w:val="00342F85"/>
    <w:rsid w:val="00347557"/>
    <w:rsid w:val="00355366"/>
    <w:rsid w:val="003629B6"/>
    <w:rsid w:val="003640C8"/>
    <w:rsid w:val="003721AD"/>
    <w:rsid w:val="00380608"/>
    <w:rsid w:val="00383DC5"/>
    <w:rsid w:val="00385EED"/>
    <w:rsid w:val="00390B58"/>
    <w:rsid w:val="003A4D47"/>
    <w:rsid w:val="003A6435"/>
    <w:rsid w:val="003B0E4F"/>
    <w:rsid w:val="003B1966"/>
    <w:rsid w:val="003C0CBE"/>
    <w:rsid w:val="003C3421"/>
    <w:rsid w:val="003D1987"/>
    <w:rsid w:val="003D3AE8"/>
    <w:rsid w:val="003D69A7"/>
    <w:rsid w:val="003F79EC"/>
    <w:rsid w:val="0042193A"/>
    <w:rsid w:val="00431631"/>
    <w:rsid w:val="00432FD5"/>
    <w:rsid w:val="00434C5D"/>
    <w:rsid w:val="00435115"/>
    <w:rsid w:val="00444432"/>
    <w:rsid w:val="00445D0A"/>
    <w:rsid w:val="004540ED"/>
    <w:rsid w:val="00454843"/>
    <w:rsid w:val="004627B9"/>
    <w:rsid w:val="00466329"/>
    <w:rsid w:val="00473219"/>
    <w:rsid w:val="00477FFA"/>
    <w:rsid w:val="00481D66"/>
    <w:rsid w:val="00487B6B"/>
    <w:rsid w:val="004B5104"/>
    <w:rsid w:val="004B5797"/>
    <w:rsid w:val="004B64B3"/>
    <w:rsid w:val="004C0CEF"/>
    <w:rsid w:val="004C3F71"/>
    <w:rsid w:val="004D3578"/>
    <w:rsid w:val="004D4D9F"/>
    <w:rsid w:val="004F1934"/>
    <w:rsid w:val="0050659B"/>
    <w:rsid w:val="005153F7"/>
    <w:rsid w:val="0052216B"/>
    <w:rsid w:val="005224C1"/>
    <w:rsid w:val="0052338B"/>
    <w:rsid w:val="00523D4C"/>
    <w:rsid w:val="005275F9"/>
    <w:rsid w:val="0053153F"/>
    <w:rsid w:val="00534E75"/>
    <w:rsid w:val="00536954"/>
    <w:rsid w:val="00540606"/>
    <w:rsid w:val="00541870"/>
    <w:rsid w:val="005436EC"/>
    <w:rsid w:val="00544A37"/>
    <w:rsid w:val="005455B0"/>
    <w:rsid w:val="0055263D"/>
    <w:rsid w:val="00553369"/>
    <w:rsid w:val="00554574"/>
    <w:rsid w:val="0056150F"/>
    <w:rsid w:val="005729F4"/>
    <w:rsid w:val="005773B2"/>
    <w:rsid w:val="00577D19"/>
    <w:rsid w:val="0058062A"/>
    <w:rsid w:val="005834AE"/>
    <w:rsid w:val="005875EC"/>
    <w:rsid w:val="00590434"/>
    <w:rsid w:val="0059432A"/>
    <w:rsid w:val="005A37E5"/>
    <w:rsid w:val="005A4497"/>
    <w:rsid w:val="005A5BBA"/>
    <w:rsid w:val="005A5F08"/>
    <w:rsid w:val="005B0E8E"/>
    <w:rsid w:val="005B31D7"/>
    <w:rsid w:val="005B5427"/>
    <w:rsid w:val="005D189A"/>
    <w:rsid w:val="005D6963"/>
    <w:rsid w:val="005F65A1"/>
    <w:rsid w:val="00600788"/>
    <w:rsid w:val="00612DC2"/>
    <w:rsid w:val="006135FD"/>
    <w:rsid w:val="006212F9"/>
    <w:rsid w:val="0062747C"/>
    <w:rsid w:val="0064020E"/>
    <w:rsid w:val="0064160C"/>
    <w:rsid w:val="0064209A"/>
    <w:rsid w:val="006529D7"/>
    <w:rsid w:val="00656312"/>
    <w:rsid w:val="0066135D"/>
    <w:rsid w:val="00663C36"/>
    <w:rsid w:val="00667012"/>
    <w:rsid w:val="00673DDB"/>
    <w:rsid w:val="006768F0"/>
    <w:rsid w:val="00677078"/>
    <w:rsid w:val="00677C07"/>
    <w:rsid w:val="0068617E"/>
    <w:rsid w:val="00692610"/>
    <w:rsid w:val="006939E4"/>
    <w:rsid w:val="00693A07"/>
    <w:rsid w:val="00697A40"/>
    <w:rsid w:val="00697F28"/>
    <w:rsid w:val="006A0BD0"/>
    <w:rsid w:val="006A150C"/>
    <w:rsid w:val="006A2F6C"/>
    <w:rsid w:val="006A3BE2"/>
    <w:rsid w:val="006B2EA9"/>
    <w:rsid w:val="006B3CB5"/>
    <w:rsid w:val="006C4193"/>
    <w:rsid w:val="006C61E8"/>
    <w:rsid w:val="006D1884"/>
    <w:rsid w:val="006D65EC"/>
    <w:rsid w:val="006E26DC"/>
    <w:rsid w:val="006E52B8"/>
    <w:rsid w:val="006F32FB"/>
    <w:rsid w:val="00705D83"/>
    <w:rsid w:val="0072112F"/>
    <w:rsid w:val="007253C3"/>
    <w:rsid w:val="00730047"/>
    <w:rsid w:val="0073009C"/>
    <w:rsid w:val="007316BB"/>
    <w:rsid w:val="00731E05"/>
    <w:rsid w:val="00736FB9"/>
    <w:rsid w:val="00771B91"/>
    <w:rsid w:val="007824F4"/>
    <w:rsid w:val="00783AB1"/>
    <w:rsid w:val="00784109"/>
    <w:rsid w:val="00785FC5"/>
    <w:rsid w:val="0078631B"/>
    <w:rsid w:val="00791A2B"/>
    <w:rsid w:val="00792EE9"/>
    <w:rsid w:val="0079572A"/>
    <w:rsid w:val="00795D79"/>
    <w:rsid w:val="0079732B"/>
    <w:rsid w:val="007A1121"/>
    <w:rsid w:val="007A1122"/>
    <w:rsid w:val="007A15A6"/>
    <w:rsid w:val="007A278E"/>
    <w:rsid w:val="007B232E"/>
    <w:rsid w:val="007B358E"/>
    <w:rsid w:val="007C6288"/>
    <w:rsid w:val="007D085C"/>
    <w:rsid w:val="007D2280"/>
    <w:rsid w:val="007D3EF7"/>
    <w:rsid w:val="007E5614"/>
    <w:rsid w:val="007F0754"/>
    <w:rsid w:val="007F3198"/>
    <w:rsid w:val="007F515C"/>
    <w:rsid w:val="00800CEA"/>
    <w:rsid w:val="008104E0"/>
    <w:rsid w:val="0081387C"/>
    <w:rsid w:val="008269F5"/>
    <w:rsid w:val="0083053E"/>
    <w:rsid w:val="00830CE8"/>
    <w:rsid w:val="00831B5E"/>
    <w:rsid w:val="0083338E"/>
    <w:rsid w:val="00833A44"/>
    <w:rsid w:val="00844420"/>
    <w:rsid w:val="00845A34"/>
    <w:rsid w:val="008769D5"/>
    <w:rsid w:val="00883A3E"/>
    <w:rsid w:val="00885B2F"/>
    <w:rsid w:val="008868A5"/>
    <w:rsid w:val="008926E5"/>
    <w:rsid w:val="008926F3"/>
    <w:rsid w:val="008957C5"/>
    <w:rsid w:val="00896014"/>
    <w:rsid w:val="00896FD6"/>
    <w:rsid w:val="008A04D3"/>
    <w:rsid w:val="008A0C76"/>
    <w:rsid w:val="008B05F2"/>
    <w:rsid w:val="008C1795"/>
    <w:rsid w:val="008C4B0D"/>
    <w:rsid w:val="008D1E94"/>
    <w:rsid w:val="008E19F3"/>
    <w:rsid w:val="008E58ED"/>
    <w:rsid w:val="008F4980"/>
    <w:rsid w:val="008F6AAF"/>
    <w:rsid w:val="00903020"/>
    <w:rsid w:val="00906176"/>
    <w:rsid w:val="00906E67"/>
    <w:rsid w:val="00915ADA"/>
    <w:rsid w:val="009222C9"/>
    <w:rsid w:val="00926825"/>
    <w:rsid w:val="00932625"/>
    <w:rsid w:val="00934141"/>
    <w:rsid w:val="009344C2"/>
    <w:rsid w:val="0093538A"/>
    <w:rsid w:val="0094705C"/>
    <w:rsid w:val="00957B41"/>
    <w:rsid w:val="009644A2"/>
    <w:rsid w:val="00967162"/>
    <w:rsid w:val="00974A97"/>
    <w:rsid w:val="00977B41"/>
    <w:rsid w:val="00982987"/>
    <w:rsid w:val="009A69B1"/>
    <w:rsid w:val="009B52C2"/>
    <w:rsid w:val="009C0ECA"/>
    <w:rsid w:val="009C45BA"/>
    <w:rsid w:val="009D7AFB"/>
    <w:rsid w:val="009E2833"/>
    <w:rsid w:val="009E317D"/>
    <w:rsid w:val="009E3B52"/>
    <w:rsid w:val="009E3D89"/>
    <w:rsid w:val="009F2CB2"/>
    <w:rsid w:val="009F2CEE"/>
    <w:rsid w:val="009F59EE"/>
    <w:rsid w:val="00A069E2"/>
    <w:rsid w:val="00A07A9F"/>
    <w:rsid w:val="00A11C90"/>
    <w:rsid w:val="00A12821"/>
    <w:rsid w:val="00A25B10"/>
    <w:rsid w:val="00A36D79"/>
    <w:rsid w:val="00A4618A"/>
    <w:rsid w:val="00A5429B"/>
    <w:rsid w:val="00A61F80"/>
    <w:rsid w:val="00A62CCA"/>
    <w:rsid w:val="00A65B9D"/>
    <w:rsid w:val="00A70932"/>
    <w:rsid w:val="00A719A5"/>
    <w:rsid w:val="00A7372B"/>
    <w:rsid w:val="00A7509B"/>
    <w:rsid w:val="00A7796E"/>
    <w:rsid w:val="00A77F44"/>
    <w:rsid w:val="00A93638"/>
    <w:rsid w:val="00AA218A"/>
    <w:rsid w:val="00AB3D30"/>
    <w:rsid w:val="00AB4794"/>
    <w:rsid w:val="00AC614D"/>
    <w:rsid w:val="00AC7F1C"/>
    <w:rsid w:val="00AE44CB"/>
    <w:rsid w:val="00AE72D7"/>
    <w:rsid w:val="00B01F39"/>
    <w:rsid w:val="00B11974"/>
    <w:rsid w:val="00B12CF8"/>
    <w:rsid w:val="00B15519"/>
    <w:rsid w:val="00B15922"/>
    <w:rsid w:val="00B244B9"/>
    <w:rsid w:val="00B27178"/>
    <w:rsid w:val="00B30A9E"/>
    <w:rsid w:val="00B3265A"/>
    <w:rsid w:val="00B36901"/>
    <w:rsid w:val="00B37F41"/>
    <w:rsid w:val="00B43ABC"/>
    <w:rsid w:val="00B470FB"/>
    <w:rsid w:val="00B51125"/>
    <w:rsid w:val="00B52CDF"/>
    <w:rsid w:val="00B65A3B"/>
    <w:rsid w:val="00B72652"/>
    <w:rsid w:val="00B815A3"/>
    <w:rsid w:val="00B94777"/>
    <w:rsid w:val="00B95BB2"/>
    <w:rsid w:val="00B95EBA"/>
    <w:rsid w:val="00BA0BC1"/>
    <w:rsid w:val="00BA1D82"/>
    <w:rsid w:val="00BA1FA3"/>
    <w:rsid w:val="00BA23D8"/>
    <w:rsid w:val="00BB4D49"/>
    <w:rsid w:val="00BB51F4"/>
    <w:rsid w:val="00BB58F0"/>
    <w:rsid w:val="00BB6439"/>
    <w:rsid w:val="00BB675F"/>
    <w:rsid w:val="00BD17B0"/>
    <w:rsid w:val="00BD3715"/>
    <w:rsid w:val="00BD5A47"/>
    <w:rsid w:val="00BD6E76"/>
    <w:rsid w:val="00BF4092"/>
    <w:rsid w:val="00BF44F1"/>
    <w:rsid w:val="00C05CCC"/>
    <w:rsid w:val="00C07F35"/>
    <w:rsid w:val="00C23E32"/>
    <w:rsid w:val="00C31E67"/>
    <w:rsid w:val="00C33A4A"/>
    <w:rsid w:val="00C42FAF"/>
    <w:rsid w:val="00C52DA0"/>
    <w:rsid w:val="00C864DC"/>
    <w:rsid w:val="00C908E5"/>
    <w:rsid w:val="00C9156E"/>
    <w:rsid w:val="00C947C0"/>
    <w:rsid w:val="00CA1722"/>
    <w:rsid w:val="00CA5872"/>
    <w:rsid w:val="00CA7CAF"/>
    <w:rsid w:val="00CB06F8"/>
    <w:rsid w:val="00CB18B1"/>
    <w:rsid w:val="00CB38CA"/>
    <w:rsid w:val="00CB6F2B"/>
    <w:rsid w:val="00CB7254"/>
    <w:rsid w:val="00CC0CB0"/>
    <w:rsid w:val="00CC1067"/>
    <w:rsid w:val="00CC65C5"/>
    <w:rsid w:val="00CD3324"/>
    <w:rsid w:val="00CD46EA"/>
    <w:rsid w:val="00CE6C6E"/>
    <w:rsid w:val="00CE76FD"/>
    <w:rsid w:val="00D012CF"/>
    <w:rsid w:val="00D01832"/>
    <w:rsid w:val="00D07AA2"/>
    <w:rsid w:val="00D1081A"/>
    <w:rsid w:val="00D21C96"/>
    <w:rsid w:val="00D30854"/>
    <w:rsid w:val="00D31127"/>
    <w:rsid w:val="00D3359F"/>
    <w:rsid w:val="00D40C89"/>
    <w:rsid w:val="00D47B55"/>
    <w:rsid w:val="00D47B8A"/>
    <w:rsid w:val="00D50703"/>
    <w:rsid w:val="00D53E59"/>
    <w:rsid w:val="00D60444"/>
    <w:rsid w:val="00D605B1"/>
    <w:rsid w:val="00D60D98"/>
    <w:rsid w:val="00D62038"/>
    <w:rsid w:val="00D67EA6"/>
    <w:rsid w:val="00D71EA0"/>
    <w:rsid w:val="00D721F1"/>
    <w:rsid w:val="00D73F33"/>
    <w:rsid w:val="00D74A93"/>
    <w:rsid w:val="00D80B6D"/>
    <w:rsid w:val="00D80F78"/>
    <w:rsid w:val="00D84488"/>
    <w:rsid w:val="00D844C8"/>
    <w:rsid w:val="00D84B7D"/>
    <w:rsid w:val="00D8513A"/>
    <w:rsid w:val="00D85BBB"/>
    <w:rsid w:val="00D85FB4"/>
    <w:rsid w:val="00D906BE"/>
    <w:rsid w:val="00D943AD"/>
    <w:rsid w:val="00D9690A"/>
    <w:rsid w:val="00DA7B87"/>
    <w:rsid w:val="00DB0343"/>
    <w:rsid w:val="00DB342A"/>
    <w:rsid w:val="00DB63D9"/>
    <w:rsid w:val="00DB7121"/>
    <w:rsid w:val="00DB7E77"/>
    <w:rsid w:val="00DC0BD6"/>
    <w:rsid w:val="00DC0F17"/>
    <w:rsid w:val="00DC30D0"/>
    <w:rsid w:val="00DD67DA"/>
    <w:rsid w:val="00DD7940"/>
    <w:rsid w:val="00DE59C6"/>
    <w:rsid w:val="00DF4305"/>
    <w:rsid w:val="00E00DC6"/>
    <w:rsid w:val="00E058A3"/>
    <w:rsid w:val="00E130CB"/>
    <w:rsid w:val="00E151F3"/>
    <w:rsid w:val="00E17539"/>
    <w:rsid w:val="00E244E6"/>
    <w:rsid w:val="00E27028"/>
    <w:rsid w:val="00E32C50"/>
    <w:rsid w:val="00E4323F"/>
    <w:rsid w:val="00E5280E"/>
    <w:rsid w:val="00E52CEE"/>
    <w:rsid w:val="00E563FC"/>
    <w:rsid w:val="00E57F9B"/>
    <w:rsid w:val="00E60634"/>
    <w:rsid w:val="00E6319B"/>
    <w:rsid w:val="00E6726D"/>
    <w:rsid w:val="00E80764"/>
    <w:rsid w:val="00E81433"/>
    <w:rsid w:val="00E81C95"/>
    <w:rsid w:val="00E845C0"/>
    <w:rsid w:val="00E852A3"/>
    <w:rsid w:val="00E93103"/>
    <w:rsid w:val="00EA0295"/>
    <w:rsid w:val="00EA0C1C"/>
    <w:rsid w:val="00EA477A"/>
    <w:rsid w:val="00EA5D92"/>
    <w:rsid w:val="00EB5354"/>
    <w:rsid w:val="00EC3779"/>
    <w:rsid w:val="00EC7F0E"/>
    <w:rsid w:val="00ED2D1F"/>
    <w:rsid w:val="00ED58E9"/>
    <w:rsid w:val="00ED79D6"/>
    <w:rsid w:val="00EE1831"/>
    <w:rsid w:val="00EE3DAD"/>
    <w:rsid w:val="00EF2F7C"/>
    <w:rsid w:val="00F00A40"/>
    <w:rsid w:val="00F05773"/>
    <w:rsid w:val="00F0773E"/>
    <w:rsid w:val="00F14982"/>
    <w:rsid w:val="00F2598D"/>
    <w:rsid w:val="00F32739"/>
    <w:rsid w:val="00F336A2"/>
    <w:rsid w:val="00F44AEB"/>
    <w:rsid w:val="00F45620"/>
    <w:rsid w:val="00F5304D"/>
    <w:rsid w:val="00F532E2"/>
    <w:rsid w:val="00F5470D"/>
    <w:rsid w:val="00F628BC"/>
    <w:rsid w:val="00F7277F"/>
    <w:rsid w:val="00F72E32"/>
    <w:rsid w:val="00F829B7"/>
    <w:rsid w:val="00F84A4F"/>
    <w:rsid w:val="00F9173C"/>
    <w:rsid w:val="00F975AD"/>
    <w:rsid w:val="00FB18D0"/>
    <w:rsid w:val="00FB2241"/>
    <w:rsid w:val="00FB2315"/>
    <w:rsid w:val="00FB2ED6"/>
    <w:rsid w:val="00FB412B"/>
    <w:rsid w:val="00FB59EE"/>
    <w:rsid w:val="00FB6B8F"/>
    <w:rsid w:val="00FC2522"/>
    <w:rsid w:val="00FC5B56"/>
    <w:rsid w:val="00FD4B12"/>
    <w:rsid w:val="00FD5009"/>
    <w:rsid w:val="00FD6A70"/>
    <w:rsid w:val="00FE1EC8"/>
    <w:rsid w:val="00FE4FBF"/>
    <w:rsid w:val="00FF1E5A"/>
    <w:rsid w:val="00FF6F6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1"/>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semiHidden/>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E563F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575859">
      <w:bodyDiv w:val="1"/>
      <w:marLeft w:val="0"/>
      <w:marRight w:val="0"/>
      <w:marTop w:val="0"/>
      <w:marBottom w:val="0"/>
      <w:divBdr>
        <w:top w:val="none" w:sz="0" w:space="0" w:color="auto"/>
        <w:left w:val="none" w:sz="0" w:space="0" w:color="auto"/>
        <w:bottom w:val="none" w:sz="0" w:space="0" w:color="auto"/>
        <w:right w:val="none" w:sz="0" w:space="0" w:color="auto"/>
      </w:divBdr>
    </w:div>
    <w:div w:id="225344068">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494489309">
      <w:bodyDiv w:val="1"/>
      <w:marLeft w:val="0"/>
      <w:marRight w:val="0"/>
      <w:marTop w:val="0"/>
      <w:marBottom w:val="0"/>
      <w:divBdr>
        <w:top w:val="none" w:sz="0" w:space="0" w:color="auto"/>
        <w:left w:val="none" w:sz="0" w:space="0" w:color="auto"/>
        <w:bottom w:val="none" w:sz="0" w:space="0" w:color="auto"/>
        <w:right w:val="none" w:sz="0" w:space="0" w:color="auto"/>
      </w:divBdr>
    </w:div>
    <w:div w:id="584384584">
      <w:bodyDiv w:val="1"/>
      <w:marLeft w:val="0"/>
      <w:marRight w:val="0"/>
      <w:marTop w:val="0"/>
      <w:marBottom w:val="0"/>
      <w:divBdr>
        <w:top w:val="none" w:sz="0" w:space="0" w:color="auto"/>
        <w:left w:val="none" w:sz="0" w:space="0" w:color="auto"/>
        <w:bottom w:val="none" w:sz="0" w:space="0" w:color="auto"/>
        <w:right w:val="none" w:sz="0" w:space="0" w:color="auto"/>
      </w:divBdr>
    </w:div>
    <w:div w:id="588000337">
      <w:bodyDiv w:val="1"/>
      <w:marLeft w:val="0"/>
      <w:marRight w:val="0"/>
      <w:marTop w:val="0"/>
      <w:marBottom w:val="0"/>
      <w:divBdr>
        <w:top w:val="none" w:sz="0" w:space="0" w:color="auto"/>
        <w:left w:val="none" w:sz="0" w:space="0" w:color="auto"/>
        <w:bottom w:val="none" w:sz="0" w:space="0" w:color="auto"/>
        <w:right w:val="none" w:sz="0" w:space="0" w:color="auto"/>
      </w:divBdr>
    </w:div>
    <w:div w:id="664868236">
      <w:bodyDiv w:val="1"/>
      <w:marLeft w:val="0"/>
      <w:marRight w:val="0"/>
      <w:marTop w:val="0"/>
      <w:marBottom w:val="0"/>
      <w:divBdr>
        <w:top w:val="none" w:sz="0" w:space="0" w:color="auto"/>
        <w:left w:val="none" w:sz="0" w:space="0" w:color="auto"/>
        <w:bottom w:val="none" w:sz="0" w:space="0" w:color="auto"/>
        <w:right w:val="none" w:sz="0" w:space="0" w:color="auto"/>
      </w:divBdr>
    </w:div>
    <w:div w:id="703022082">
      <w:bodyDiv w:val="1"/>
      <w:marLeft w:val="0"/>
      <w:marRight w:val="0"/>
      <w:marTop w:val="0"/>
      <w:marBottom w:val="0"/>
      <w:divBdr>
        <w:top w:val="none" w:sz="0" w:space="0" w:color="auto"/>
        <w:left w:val="none" w:sz="0" w:space="0" w:color="auto"/>
        <w:bottom w:val="none" w:sz="0" w:space="0" w:color="auto"/>
        <w:right w:val="none" w:sz="0" w:space="0" w:color="auto"/>
      </w:divBdr>
    </w:div>
    <w:div w:id="858007546">
      <w:bodyDiv w:val="1"/>
      <w:marLeft w:val="0"/>
      <w:marRight w:val="0"/>
      <w:marTop w:val="0"/>
      <w:marBottom w:val="0"/>
      <w:divBdr>
        <w:top w:val="none" w:sz="0" w:space="0" w:color="auto"/>
        <w:left w:val="none" w:sz="0" w:space="0" w:color="auto"/>
        <w:bottom w:val="none" w:sz="0" w:space="0" w:color="auto"/>
        <w:right w:val="none" w:sz="0" w:space="0" w:color="auto"/>
      </w:divBdr>
    </w:div>
    <w:div w:id="914245166">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31762177">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208882320">
      <w:bodyDiv w:val="1"/>
      <w:marLeft w:val="0"/>
      <w:marRight w:val="0"/>
      <w:marTop w:val="0"/>
      <w:marBottom w:val="0"/>
      <w:divBdr>
        <w:top w:val="none" w:sz="0" w:space="0" w:color="auto"/>
        <w:left w:val="none" w:sz="0" w:space="0" w:color="auto"/>
        <w:bottom w:val="none" w:sz="0" w:space="0" w:color="auto"/>
        <w:right w:val="none" w:sz="0" w:space="0" w:color="auto"/>
      </w:divBdr>
    </w:div>
    <w:div w:id="1240212790">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370837486">
      <w:bodyDiv w:val="1"/>
      <w:marLeft w:val="0"/>
      <w:marRight w:val="0"/>
      <w:marTop w:val="0"/>
      <w:marBottom w:val="0"/>
      <w:divBdr>
        <w:top w:val="none" w:sz="0" w:space="0" w:color="auto"/>
        <w:left w:val="none" w:sz="0" w:space="0" w:color="auto"/>
        <w:bottom w:val="none" w:sz="0" w:space="0" w:color="auto"/>
        <w:right w:val="none" w:sz="0" w:space="0" w:color="auto"/>
      </w:divBdr>
    </w:div>
    <w:div w:id="1438479073">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30217791">
      <w:bodyDiv w:val="1"/>
      <w:marLeft w:val="0"/>
      <w:marRight w:val="0"/>
      <w:marTop w:val="0"/>
      <w:marBottom w:val="0"/>
      <w:divBdr>
        <w:top w:val="none" w:sz="0" w:space="0" w:color="auto"/>
        <w:left w:val="none" w:sz="0" w:space="0" w:color="auto"/>
        <w:bottom w:val="none" w:sz="0" w:space="0" w:color="auto"/>
        <w:right w:val="none" w:sz="0" w:space="0" w:color="auto"/>
      </w:divBdr>
    </w:div>
    <w:div w:id="1695886480">
      <w:bodyDiv w:val="1"/>
      <w:marLeft w:val="0"/>
      <w:marRight w:val="0"/>
      <w:marTop w:val="0"/>
      <w:marBottom w:val="0"/>
      <w:divBdr>
        <w:top w:val="none" w:sz="0" w:space="0" w:color="auto"/>
        <w:left w:val="none" w:sz="0" w:space="0" w:color="auto"/>
        <w:bottom w:val="none" w:sz="0" w:space="0" w:color="auto"/>
        <w:right w:val="none" w:sz="0" w:space="0" w:color="auto"/>
      </w:divBdr>
    </w:div>
    <w:div w:id="1737900709">
      <w:bodyDiv w:val="1"/>
      <w:marLeft w:val="0"/>
      <w:marRight w:val="0"/>
      <w:marTop w:val="0"/>
      <w:marBottom w:val="0"/>
      <w:divBdr>
        <w:top w:val="none" w:sz="0" w:space="0" w:color="auto"/>
        <w:left w:val="none" w:sz="0" w:space="0" w:color="auto"/>
        <w:bottom w:val="none" w:sz="0" w:space="0" w:color="auto"/>
        <w:right w:val="none" w:sz="0" w:space="0" w:color="auto"/>
      </w:divBdr>
    </w:div>
    <w:div w:id="1865820393">
      <w:bodyDiv w:val="1"/>
      <w:marLeft w:val="0"/>
      <w:marRight w:val="0"/>
      <w:marTop w:val="0"/>
      <w:marBottom w:val="0"/>
      <w:divBdr>
        <w:top w:val="none" w:sz="0" w:space="0" w:color="auto"/>
        <w:left w:val="none" w:sz="0" w:space="0" w:color="auto"/>
        <w:bottom w:val="none" w:sz="0" w:space="0" w:color="auto"/>
        <w:right w:val="none" w:sz="0" w:space="0" w:color="auto"/>
      </w:divBdr>
    </w:div>
    <w:div w:id="2009283326">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32"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tereza.kun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3FE2A6-DE91-4ABE-8699-C0E967FBE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TotalTime>
  <Pages>3</Pages>
  <Words>825</Words>
  <Characters>4870</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Viola Baštýřová</dc:creator>
  <cp:lastModifiedBy>Tereza Kunová</cp:lastModifiedBy>
  <cp:revision>9</cp:revision>
  <dcterms:created xsi:type="dcterms:W3CDTF">2021-11-11T21:05:00Z</dcterms:created>
  <dcterms:modified xsi:type="dcterms:W3CDTF">2021-12-20T09:22:00Z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