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A27600"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A0592DB" w14:textId="5DF8365E" w:rsidR="00A672EA" w:rsidRPr="00305EA9" w:rsidRDefault="00A672EA" w:rsidP="001B5A35">
      <w:pPr>
        <w:jc w:val="center"/>
        <w:rPr>
          <w:rFonts w:ascii="Arial" w:hAnsi="Arial" w:cs="Arial"/>
          <w:b/>
          <w:sz w:val="32"/>
          <w:szCs w:val="32"/>
        </w:rPr>
      </w:pPr>
    </w:p>
    <w:p w14:paraId="29B66E60" w14:textId="445C1E9E" w:rsidR="004336FA" w:rsidRPr="004336FA" w:rsidRDefault="00305EA9" w:rsidP="001449CB">
      <w:pPr>
        <w:jc w:val="center"/>
        <w:rPr>
          <w:rFonts w:ascii="Arial" w:hAnsi="Arial" w:cs="Arial"/>
          <w:b/>
          <w:sz w:val="28"/>
          <w:szCs w:val="28"/>
        </w:rPr>
      </w:pPr>
      <w:r w:rsidRPr="00305EA9">
        <w:rPr>
          <w:rFonts w:ascii="Arial" w:hAnsi="Arial" w:cs="Arial"/>
          <w:b/>
          <w:sz w:val="28"/>
          <w:szCs w:val="28"/>
        </w:rPr>
        <w:t xml:space="preserve">Hodnota Broker Consulting POVIndexu v říjnu po pěti měsících mírně </w:t>
      </w:r>
      <w:r>
        <w:rPr>
          <w:rFonts w:ascii="Arial" w:hAnsi="Arial" w:cs="Arial"/>
          <w:b/>
          <w:sz w:val="28"/>
          <w:szCs w:val="28"/>
        </w:rPr>
        <w:t>po</w:t>
      </w:r>
      <w:r w:rsidRPr="00305EA9">
        <w:rPr>
          <w:rFonts w:ascii="Arial" w:hAnsi="Arial" w:cs="Arial"/>
          <w:b/>
          <w:sz w:val="28"/>
          <w:szCs w:val="28"/>
        </w:rPr>
        <w:t xml:space="preserve">klesla </w:t>
      </w:r>
      <w:r>
        <w:rPr>
          <w:rFonts w:ascii="Arial" w:hAnsi="Arial" w:cs="Arial"/>
          <w:b/>
          <w:sz w:val="28"/>
          <w:szCs w:val="28"/>
        </w:rPr>
        <w:t>o 86 korun na 6 444 korun</w:t>
      </w:r>
    </w:p>
    <w:p w14:paraId="69FC3C71" w14:textId="77777777" w:rsidR="00836DF0" w:rsidRPr="00255E96" w:rsidRDefault="00836DF0" w:rsidP="00B7285B">
      <w:pPr>
        <w:rPr>
          <w:rFonts w:ascii="Arial" w:hAnsi="Arial" w:cs="Arial"/>
          <w:b/>
          <w:sz w:val="20"/>
          <w:szCs w:val="20"/>
        </w:rPr>
      </w:pPr>
    </w:p>
    <w:p w14:paraId="5FC32DDE" w14:textId="77777777" w:rsidR="00A75581" w:rsidRDefault="00A75581" w:rsidP="00255E96">
      <w:pPr>
        <w:jc w:val="both"/>
        <w:rPr>
          <w:rFonts w:ascii="Arial" w:hAnsi="Arial" w:cs="Arial"/>
          <w:i/>
          <w:sz w:val="20"/>
          <w:szCs w:val="20"/>
        </w:rPr>
      </w:pPr>
    </w:p>
    <w:p w14:paraId="491EAFA6" w14:textId="7AE00551" w:rsidR="0095216F" w:rsidRPr="00255E96" w:rsidRDefault="007066E2" w:rsidP="00255E96">
      <w:pPr>
        <w:jc w:val="both"/>
        <w:rPr>
          <w:rFonts w:ascii="Arial" w:hAnsi="Arial" w:cs="Arial"/>
          <w:b/>
          <w:sz w:val="20"/>
          <w:szCs w:val="20"/>
        </w:rPr>
      </w:pPr>
      <w:r>
        <w:rPr>
          <w:rFonts w:ascii="Arial" w:hAnsi="Arial" w:cs="Arial"/>
          <w:i/>
          <w:sz w:val="20"/>
          <w:szCs w:val="20"/>
        </w:rPr>
        <w:t>Praha, 22</w:t>
      </w:r>
      <w:bookmarkStart w:id="0" w:name="_GoBack"/>
      <w:bookmarkEnd w:id="0"/>
      <w:r w:rsidR="0004010D" w:rsidRPr="006863D8">
        <w:rPr>
          <w:rFonts w:ascii="Arial" w:hAnsi="Arial" w:cs="Arial"/>
          <w:i/>
          <w:sz w:val="20"/>
          <w:szCs w:val="20"/>
        </w:rPr>
        <w:t xml:space="preserve">. </w:t>
      </w:r>
      <w:r w:rsidR="0004010D">
        <w:rPr>
          <w:rFonts w:ascii="Arial" w:hAnsi="Arial" w:cs="Arial"/>
          <w:i/>
          <w:sz w:val="20"/>
          <w:szCs w:val="20"/>
        </w:rPr>
        <w:t>listopadu</w:t>
      </w:r>
      <w:r w:rsidR="0004010D" w:rsidRPr="006863D8">
        <w:rPr>
          <w:rFonts w:ascii="Arial" w:hAnsi="Arial" w:cs="Arial"/>
          <w:i/>
          <w:sz w:val="20"/>
          <w:szCs w:val="20"/>
        </w:rPr>
        <w:t xml:space="preserve"> 2021</w:t>
      </w:r>
      <w:r w:rsidR="0004010D" w:rsidRPr="0018139F">
        <w:rPr>
          <w:rFonts w:ascii="Arial" w:hAnsi="Arial" w:cs="Arial"/>
          <w:color w:val="000000" w:themeColor="text1"/>
          <w:sz w:val="20"/>
          <w:szCs w:val="20"/>
        </w:rPr>
        <w:t xml:space="preserve"> </w:t>
      </w:r>
      <w:r w:rsidR="0004010D">
        <w:rPr>
          <w:rFonts w:ascii="Arial" w:hAnsi="Arial" w:cs="Arial"/>
          <w:color w:val="000000" w:themeColor="text1"/>
          <w:sz w:val="20"/>
          <w:szCs w:val="20"/>
        </w:rPr>
        <w:t>–</w:t>
      </w:r>
      <w:r w:rsidR="0004010D">
        <w:rPr>
          <w:rFonts w:ascii="Arial" w:hAnsi="Arial" w:cs="Arial"/>
          <w:b/>
          <w:color w:val="000000" w:themeColor="text1"/>
          <w:sz w:val="20"/>
          <w:szCs w:val="20"/>
        </w:rPr>
        <w:t xml:space="preserve"> </w:t>
      </w:r>
      <w:r w:rsidR="00BF0F80" w:rsidRPr="00255E96">
        <w:rPr>
          <w:rFonts w:ascii="Arial" w:hAnsi="Arial" w:cs="Arial"/>
          <w:b/>
          <w:sz w:val="20"/>
          <w:szCs w:val="20"/>
        </w:rPr>
        <w:t xml:space="preserve">Pojištění odpovědnosti z provozu vozidla </w:t>
      </w:r>
      <w:r w:rsidR="00836DF0" w:rsidRPr="00255E96">
        <w:rPr>
          <w:rFonts w:ascii="Arial" w:hAnsi="Arial" w:cs="Arial"/>
          <w:b/>
          <w:sz w:val="20"/>
          <w:szCs w:val="20"/>
        </w:rPr>
        <w:t xml:space="preserve">v říjnu nepatrně zlevnilo. </w:t>
      </w:r>
      <w:r w:rsidR="00BF0F80" w:rsidRPr="00255E96">
        <w:rPr>
          <w:rFonts w:ascii="Arial" w:hAnsi="Arial" w:cs="Arial"/>
          <w:b/>
          <w:sz w:val="20"/>
          <w:szCs w:val="20"/>
        </w:rPr>
        <w:t>Výsledky</w:t>
      </w:r>
      <w:r w:rsidR="00836DF0" w:rsidRPr="00255E96">
        <w:rPr>
          <w:rFonts w:ascii="Arial" w:hAnsi="Arial" w:cs="Arial"/>
          <w:b/>
          <w:sz w:val="20"/>
          <w:szCs w:val="20"/>
        </w:rPr>
        <w:t xml:space="preserve"> Broker Consulting POV</w:t>
      </w:r>
      <w:r w:rsidR="00255E96">
        <w:rPr>
          <w:rFonts w:ascii="Arial" w:hAnsi="Arial" w:cs="Arial"/>
          <w:b/>
          <w:sz w:val="20"/>
          <w:szCs w:val="20"/>
        </w:rPr>
        <w:t>I</w:t>
      </w:r>
      <w:r w:rsidR="00836DF0" w:rsidRPr="00255E96">
        <w:rPr>
          <w:rFonts w:ascii="Arial" w:hAnsi="Arial" w:cs="Arial"/>
          <w:b/>
          <w:sz w:val="20"/>
          <w:szCs w:val="20"/>
        </w:rPr>
        <w:t>ndexu</w:t>
      </w:r>
      <w:r w:rsidR="00BF0F80" w:rsidRPr="00255E96">
        <w:rPr>
          <w:rFonts w:ascii="Arial" w:hAnsi="Arial" w:cs="Arial"/>
          <w:b/>
          <w:sz w:val="20"/>
          <w:szCs w:val="20"/>
        </w:rPr>
        <w:t xml:space="preserve"> ukazují, že jeho</w:t>
      </w:r>
      <w:r w:rsidR="00836DF0" w:rsidRPr="00255E96">
        <w:rPr>
          <w:rFonts w:ascii="Arial" w:hAnsi="Arial" w:cs="Arial"/>
          <w:b/>
          <w:sz w:val="20"/>
          <w:szCs w:val="20"/>
        </w:rPr>
        <w:t xml:space="preserve"> </w:t>
      </w:r>
      <w:r w:rsidR="00BF0F80" w:rsidRPr="00255E96">
        <w:rPr>
          <w:rFonts w:ascii="Arial" w:hAnsi="Arial" w:cs="Arial"/>
          <w:b/>
          <w:sz w:val="20"/>
          <w:szCs w:val="20"/>
        </w:rPr>
        <w:t xml:space="preserve">hodnota </w:t>
      </w:r>
      <w:r w:rsidR="00836DF0" w:rsidRPr="00255E96">
        <w:rPr>
          <w:rFonts w:ascii="Arial" w:hAnsi="Arial" w:cs="Arial"/>
          <w:b/>
          <w:sz w:val="20"/>
          <w:szCs w:val="20"/>
        </w:rPr>
        <w:t xml:space="preserve">po pěti měsících mírného růstu poklesla </w:t>
      </w:r>
      <w:r w:rsidR="00F84DCA" w:rsidRPr="00255E96">
        <w:rPr>
          <w:rFonts w:ascii="Arial" w:hAnsi="Arial" w:cs="Arial"/>
          <w:b/>
          <w:sz w:val="20"/>
          <w:szCs w:val="20"/>
        </w:rPr>
        <w:t xml:space="preserve">o 86 korun </w:t>
      </w:r>
      <w:r w:rsidR="00836DF0" w:rsidRPr="00255E96">
        <w:rPr>
          <w:rFonts w:ascii="Arial" w:hAnsi="Arial" w:cs="Arial"/>
          <w:b/>
          <w:sz w:val="20"/>
          <w:szCs w:val="20"/>
        </w:rPr>
        <w:t xml:space="preserve">na 6 444 </w:t>
      </w:r>
      <w:r w:rsidR="00DE75F4" w:rsidRPr="00255E96">
        <w:rPr>
          <w:rFonts w:ascii="Arial" w:hAnsi="Arial" w:cs="Arial"/>
          <w:b/>
          <w:sz w:val="20"/>
          <w:szCs w:val="20"/>
        </w:rPr>
        <w:t xml:space="preserve">korun. Do celkového </w:t>
      </w:r>
      <w:r w:rsidR="006F6676" w:rsidRPr="00255E96">
        <w:rPr>
          <w:rFonts w:ascii="Arial" w:hAnsi="Arial" w:cs="Arial"/>
          <w:b/>
          <w:sz w:val="20"/>
          <w:szCs w:val="20"/>
        </w:rPr>
        <w:t>snížení</w:t>
      </w:r>
      <w:r w:rsidR="00DE75F4" w:rsidRPr="00255E96">
        <w:rPr>
          <w:rFonts w:ascii="Arial" w:hAnsi="Arial" w:cs="Arial"/>
          <w:b/>
          <w:sz w:val="20"/>
          <w:szCs w:val="20"/>
        </w:rPr>
        <w:t xml:space="preserve"> se promítly úpravy c</w:t>
      </w:r>
      <w:r w:rsidR="006F6676" w:rsidRPr="00255E96">
        <w:rPr>
          <w:rFonts w:ascii="Arial" w:hAnsi="Arial" w:cs="Arial"/>
          <w:b/>
          <w:sz w:val="20"/>
          <w:szCs w:val="20"/>
        </w:rPr>
        <w:t>eníků</w:t>
      </w:r>
      <w:r w:rsidR="00DE75F4" w:rsidRPr="00255E96">
        <w:rPr>
          <w:rFonts w:ascii="Arial" w:hAnsi="Arial" w:cs="Arial"/>
          <w:b/>
          <w:sz w:val="20"/>
          <w:szCs w:val="20"/>
        </w:rPr>
        <w:t xml:space="preserve">, k nimž přistoupila většina pojišťoven. </w:t>
      </w:r>
      <w:r w:rsidR="00EC046B" w:rsidRPr="00255E96">
        <w:rPr>
          <w:rFonts w:ascii="Arial" w:hAnsi="Arial" w:cs="Arial"/>
          <w:b/>
          <w:sz w:val="20"/>
          <w:szCs w:val="20"/>
        </w:rPr>
        <w:t xml:space="preserve">Podle odborníků </w:t>
      </w:r>
      <w:r w:rsidR="0095216F" w:rsidRPr="00255E96">
        <w:rPr>
          <w:rFonts w:ascii="Arial" w:hAnsi="Arial" w:cs="Arial"/>
          <w:b/>
          <w:sz w:val="20"/>
          <w:szCs w:val="20"/>
        </w:rPr>
        <w:t xml:space="preserve">však aktuální situace dalšímu zlevňování </w:t>
      </w:r>
      <w:r w:rsidR="0004010D">
        <w:rPr>
          <w:rFonts w:ascii="Arial" w:hAnsi="Arial" w:cs="Arial"/>
          <w:b/>
          <w:sz w:val="20"/>
          <w:szCs w:val="20"/>
        </w:rPr>
        <w:t xml:space="preserve">příliš </w:t>
      </w:r>
      <w:r w:rsidR="0095216F" w:rsidRPr="00D36065">
        <w:rPr>
          <w:rFonts w:ascii="Arial" w:hAnsi="Arial" w:cs="Arial"/>
          <w:b/>
          <w:sz w:val="20"/>
          <w:szCs w:val="20"/>
        </w:rPr>
        <w:t>nenahrává</w:t>
      </w:r>
      <w:r w:rsidR="00255E96" w:rsidRPr="00D36065">
        <w:rPr>
          <w:rFonts w:ascii="Arial" w:hAnsi="Arial" w:cs="Arial"/>
          <w:b/>
          <w:sz w:val="20"/>
          <w:szCs w:val="20"/>
        </w:rPr>
        <w:t>.</w:t>
      </w:r>
      <w:r w:rsidR="00255E96" w:rsidRPr="00255E96">
        <w:rPr>
          <w:rFonts w:ascii="Arial" w:hAnsi="Arial" w:cs="Arial"/>
          <w:b/>
          <w:sz w:val="20"/>
          <w:szCs w:val="20"/>
        </w:rPr>
        <w:t xml:space="preserve"> </w:t>
      </w:r>
    </w:p>
    <w:p w14:paraId="2893091F" w14:textId="27498628" w:rsidR="00DE75F4" w:rsidRPr="00B777C3" w:rsidRDefault="00DE75F4" w:rsidP="00B7285B">
      <w:pPr>
        <w:rPr>
          <w:rFonts w:ascii="Arial" w:hAnsi="Arial" w:cs="Arial"/>
          <w:b/>
          <w:sz w:val="20"/>
          <w:szCs w:val="20"/>
        </w:rPr>
      </w:pPr>
    </w:p>
    <w:p w14:paraId="52EC5902" w14:textId="77777777" w:rsidR="00E65B45" w:rsidRDefault="00E65B45" w:rsidP="00E65B45">
      <w:pPr>
        <w:jc w:val="both"/>
        <w:rPr>
          <w:rFonts w:ascii="Arial" w:eastAsiaTheme="minorHAnsi" w:hAnsi="Arial" w:cs="Arial"/>
          <w:sz w:val="20"/>
          <w:szCs w:val="20"/>
          <w:lang w:bidi="ar-SA"/>
        </w:rPr>
      </w:pPr>
      <w:r>
        <w:rPr>
          <w:rFonts w:ascii="Arial" w:hAnsi="Arial" w:cs="Arial"/>
          <w:i/>
          <w:sz w:val="20"/>
          <w:szCs w:val="20"/>
        </w:rPr>
        <w:t xml:space="preserve">„V porovnání s předchozími lety se říjnová hodnota POVIndexu drží pořád velmi nízko, přesně před rokem byla vyšší o 844 korun a v roce 2019 dokonce o 1 209 korun. Aktuální situace spíše nahrává dočasné stagnaci cen či pozvolnému zdražování, takže řidiči by neměli počítat s tím, že pojišťovny půjdou s cenami povinného ručení ještě níže,“ </w:t>
      </w:r>
      <w:r>
        <w:rPr>
          <w:rFonts w:ascii="Arial" w:hAnsi="Arial" w:cs="Arial"/>
          <w:sz w:val="20"/>
          <w:szCs w:val="20"/>
        </w:rPr>
        <w:t xml:space="preserve">upozorňuje </w:t>
      </w:r>
      <w:r>
        <w:rPr>
          <w:rFonts w:ascii="Arial" w:hAnsi="Arial" w:cs="Arial"/>
          <w:b/>
          <w:sz w:val="20"/>
          <w:szCs w:val="20"/>
        </w:rPr>
        <w:t>Jiří Váchal, analytik neživotního pojištění společnosti Broker Consulting</w:t>
      </w:r>
      <w:r>
        <w:rPr>
          <w:rFonts w:ascii="Arial" w:hAnsi="Arial" w:cs="Arial"/>
          <w:sz w:val="20"/>
          <w:szCs w:val="20"/>
        </w:rPr>
        <w:t xml:space="preserve">. </w:t>
      </w:r>
    </w:p>
    <w:p w14:paraId="65B052DD" w14:textId="42B54287" w:rsidR="006F6676" w:rsidRPr="00924030" w:rsidRDefault="006F6676" w:rsidP="00B7285B">
      <w:pPr>
        <w:jc w:val="both"/>
        <w:rPr>
          <w:rFonts w:ascii="Arial" w:hAnsi="Arial" w:cs="Arial"/>
          <w:color w:val="000000" w:themeColor="text1"/>
          <w:sz w:val="20"/>
          <w:szCs w:val="20"/>
        </w:rPr>
      </w:pPr>
    </w:p>
    <w:p w14:paraId="222E2D09" w14:textId="77777777" w:rsidR="00576552" w:rsidRPr="00576552" w:rsidRDefault="00576552" w:rsidP="00576552">
      <w:pPr>
        <w:jc w:val="both"/>
        <w:rPr>
          <w:rFonts w:ascii="Arial" w:hAnsi="Arial" w:cs="Arial"/>
          <w:color w:val="000000" w:themeColor="text1"/>
          <w:sz w:val="20"/>
          <w:szCs w:val="20"/>
        </w:rPr>
      </w:pPr>
      <w:r w:rsidRPr="00576552">
        <w:rPr>
          <w:rFonts w:ascii="Arial" w:hAnsi="Arial" w:cs="Arial"/>
          <w:color w:val="000000" w:themeColor="text1"/>
          <w:sz w:val="20"/>
          <w:szCs w:val="20"/>
        </w:rPr>
        <w:t>Broker Consulting POVIndex byl poprvé spuštěn v srpnu roku 2019. Od svého počátku sleduje vývoj nákladů na povinné ručení pro řidiče bez historie, ať už se jedná o nového řidiče, nebo o řidiče, který donedávna užíval služební vozidlo.</w:t>
      </w:r>
    </w:p>
    <w:p w14:paraId="5C7E0396" w14:textId="60828630" w:rsidR="00576552" w:rsidRDefault="00576552" w:rsidP="00B7285B">
      <w:pPr>
        <w:jc w:val="both"/>
        <w:rPr>
          <w:rFonts w:ascii="Arial" w:hAnsi="Arial" w:cs="Arial"/>
          <w:color w:val="000000" w:themeColor="text1"/>
          <w:sz w:val="20"/>
          <w:szCs w:val="20"/>
        </w:rPr>
      </w:pPr>
    </w:p>
    <w:p w14:paraId="3EC61973" w14:textId="521473DD" w:rsidR="00924030" w:rsidRDefault="00924030" w:rsidP="00B7285B">
      <w:pPr>
        <w:jc w:val="both"/>
        <w:rPr>
          <w:rFonts w:ascii="Arial" w:hAnsi="Arial" w:cs="Arial"/>
          <w:color w:val="000000" w:themeColor="text1"/>
          <w:sz w:val="20"/>
          <w:szCs w:val="20"/>
        </w:rPr>
      </w:pPr>
      <w:r>
        <w:rPr>
          <w:rFonts w:ascii="Arial" w:hAnsi="Arial" w:cs="Arial"/>
          <w:color w:val="000000" w:themeColor="text1"/>
          <w:sz w:val="20"/>
          <w:szCs w:val="20"/>
        </w:rPr>
        <w:t>Aktuální</w:t>
      </w:r>
      <w:r w:rsidRPr="00924030">
        <w:rPr>
          <w:rFonts w:ascii="Arial" w:hAnsi="Arial" w:cs="Arial"/>
          <w:color w:val="000000" w:themeColor="text1"/>
          <w:sz w:val="20"/>
          <w:szCs w:val="20"/>
        </w:rPr>
        <w:t xml:space="preserve"> hodnota POVIndexu 6 444 korun </w:t>
      </w:r>
      <w:r w:rsidR="00352D61">
        <w:rPr>
          <w:rFonts w:ascii="Arial" w:hAnsi="Arial" w:cs="Arial"/>
          <w:color w:val="000000" w:themeColor="text1"/>
          <w:sz w:val="20"/>
          <w:szCs w:val="20"/>
        </w:rPr>
        <w:t>je nižší</w:t>
      </w:r>
      <w:r w:rsidRPr="00924030">
        <w:rPr>
          <w:rFonts w:ascii="Arial" w:hAnsi="Arial" w:cs="Arial"/>
          <w:color w:val="000000" w:themeColor="text1"/>
          <w:sz w:val="20"/>
          <w:szCs w:val="20"/>
        </w:rPr>
        <w:t xml:space="preserve"> i v porovnání s průměrnou hodnotou </w:t>
      </w:r>
      <w:r w:rsidR="00352D61">
        <w:rPr>
          <w:rFonts w:ascii="Arial" w:hAnsi="Arial" w:cs="Arial"/>
          <w:color w:val="000000" w:themeColor="text1"/>
          <w:sz w:val="20"/>
          <w:szCs w:val="20"/>
        </w:rPr>
        <w:t>POVI</w:t>
      </w:r>
      <w:r w:rsidRPr="00924030">
        <w:rPr>
          <w:rFonts w:ascii="Arial" w:hAnsi="Arial" w:cs="Arial"/>
          <w:color w:val="000000" w:themeColor="text1"/>
          <w:sz w:val="20"/>
          <w:szCs w:val="20"/>
        </w:rPr>
        <w:t xml:space="preserve">ndexu za celou dobu jeho sledování, která činí 6 779 korun. </w:t>
      </w:r>
      <w:r w:rsidR="00576552">
        <w:rPr>
          <w:rFonts w:ascii="Arial" w:hAnsi="Arial" w:cs="Arial"/>
          <w:color w:val="000000" w:themeColor="text1"/>
          <w:sz w:val="20"/>
          <w:szCs w:val="20"/>
        </w:rPr>
        <w:t>Řidiči v</w:t>
      </w:r>
      <w:r>
        <w:rPr>
          <w:rFonts w:ascii="Arial" w:hAnsi="Arial" w:cs="Arial"/>
          <w:color w:val="000000" w:themeColor="text1"/>
          <w:sz w:val="20"/>
          <w:szCs w:val="20"/>
        </w:rPr>
        <w:t xml:space="preserve"> Praze zaplatili letos v říjnu za povinné ručení 7 089 korun, v tomtéž měsíci loni se jeho cena držela na částce </w:t>
      </w:r>
      <w:r w:rsidR="00576552">
        <w:rPr>
          <w:rFonts w:ascii="Arial" w:hAnsi="Arial" w:cs="Arial"/>
          <w:color w:val="000000" w:themeColor="text1"/>
          <w:sz w:val="20"/>
          <w:szCs w:val="20"/>
        </w:rPr>
        <w:t xml:space="preserve">7 292 korun. V případě menšího města o velikosti Benešova </w:t>
      </w:r>
      <w:r w:rsidR="00352D61">
        <w:rPr>
          <w:rFonts w:ascii="Arial" w:hAnsi="Arial" w:cs="Arial"/>
          <w:color w:val="000000" w:themeColor="text1"/>
          <w:sz w:val="20"/>
          <w:szCs w:val="20"/>
        </w:rPr>
        <w:t xml:space="preserve">pak </w:t>
      </w:r>
      <w:r w:rsidR="00576552">
        <w:rPr>
          <w:rFonts w:ascii="Arial" w:hAnsi="Arial" w:cs="Arial"/>
          <w:color w:val="000000" w:themeColor="text1"/>
          <w:sz w:val="20"/>
          <w:szCs w:val="20"/>
        </w:rPr>
        <w:t>vyjde roční pojistné na 5 798 korun, zatímco v říjnu minulého roku vyšlo mírně levněji, a sice 5 629 korun.</w:t>
      </w:r>
    </w:p>
    <w:p w14:paraId="5C82737B" w14:textId="17257F69" w:rsidR="00684BC2" w:rsidRPr="00576552" w:rsidRDefault="00684BC2" w:rsidP="00B7285B">
      <w:pPr>
        <w:jc w:val="both"/>
        <w:rPr>
          <w:rFonts w:ascii="Arial" w:hAnsi="Arial" w:cs="Arial"/>
          <w:color w:val="000000" w:themeColor="text1"/>
          <w:sz w:val="20"/>
          <w:szCs w:val="20"/>
        </w:rPr>
      </w:pPr>
    </w:p>
    <w:p w14:paraId="6C86D7E4" w14:textId="27FF83FA" w:rsidR="007F2249" w:rsidRPr="00352D61" w:rsidRDefault="00100869" w:rsidP="00B7285B">
      <w:pPr>
        <w:jc w:val="both"/>
        <w:rPr>
          <w:rFonts w:ascii="Arial" w:hAnsi="Arial" w:cs="Arial"/>
          <w:color w:val="000000" w:themeColor="text1"/>
          <w:sz w:val="20"/>
          <w:szCs w:val="20"/>
        </w:rPr>
      </w:pPr>
      <w:r w:rsidRPr="00576552">
        <w:rPr>
          <w:rFonts w:ascii="Arial" w:hAnsi="Arial" w:cs="Arial"/>
          <w:color w:val="000000" w:themeColor="text1"/>
          <w:sz w:val="20"/>
          <w:szCs w:val="20"/>
        </w:rPr>
        <w:t xml:space="preserve">Broker Consulting POVIndex </w:t>
      </w:r>
      <w:r w:rsidR="00B7285B" w:rsidRPr="00576552">
        <w:rPr>
          <w:rFonts w:ascii="Arial" w:hAnsi="Arial" w:cs="Arial"/>
          <w:color w:val="000000" w:themeColor="text1"/>
          <w:sz w:val="20"/>
          <w:szCs w:val="20"/>
        </w:rPr>
        <w:t xml:space="preserve">je počítán odlišnou metodikou, než jako používá ČKP. </w:t>
      </w:r>
      <w:r w:rsidR="00A51DB8" w:rsidRPr="00576552">
        <w:rPr>
          <w:rFonts w:ascii="Arial" w:hAnsi="Arial" w:cs="Arial"/>
          <w:color w:val="000000" w:themeColor="text1"/>
          <w:sz w:val="20"/>
          <w:szCs w:val="20"/>
        </w:rPr>
        <w:t>Pro vizualizaci je zvolena z</w:t>
      </w:r>
      <w:r w:rsidRPr="00576552">
        <w:rPr>
          <w:rFonts w:ascii="Arial" w:hAnsi="Arial" w:cs="Arial"/>
          <w:color w:val="000000" w:themeColor="text1"/>
          <w:sz w:val="20"/>
          <w:szCs w:val="20"/>
        </w:rPr>
        <w:t>n</w:t>
      </w:r>
      <w:r w:rsidR="00A51DB8" w:rsidRPr="00576552">
        <w:rPr>
          <w:rFonts w:ascii="Arial" w:hAnsi="Arial" w:cs="Arial"/>
          <w:color w:val="000000" w:themeColor="text1"/>
          <w:sz w:val="20"/>
          <w:szCs w:val="20"/>
        </w:rPr>
        <w:t>ačka vozu Škoda Octavia 1,6 TDI</w:t>
      </w:r>
      <w:r w:rsidR="001B5A35" w:rsidRPr="00576552">
        <w:rPr>
          <w:rFonts w:ascii="Arial" w:hAnsi="Arial" w:cs="Arial"/>
          <w:color w:val="000000" w:themeColor="text1"/>
          <w:sz w:val="20"/>
          <w:szCs w:val="20"/>
        </w:rPr>
        <w:t>, 85 kW</w:t>
      </w:r>
      <w:r w:rsidRPr="00576552">
        <w:rPr>
          <w:rFonts w:ascii="Arial" w:hAnsi="Arial" w:cs="Arial"/>
          <w:color w:val="000000" w:themeColor="text1"/>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779E5FA" w14:textId="7A789896" w:rsidR="00E4768E" w:rsidRDefault="00E4768E" w:rsidP="00B7285B">
      <w:pPr>
        <w:jc w:val="both"/>
        <w:rPr>
          <w:rFonts w:ascii="Arial" w:hAnsi="Arial" w:cs="Arial"/>
          <w:bCs/>
        </w:rPr>
      </w:pPr>
    </w:p>
    <w:p w14:paraId="7F829A7D" w14:textId="51C425D3" w:rsidR="00E4768E" w:rsidRDefault="007066E2" w:rsidP="00B7285B">
      <w:pPr>
        <w:jc w:val="both"/>
        <w:rPr>
          <w:rFonts w:ascii="Arial" w:hAnsi="Arial" w:cs="Arial"/>
          <w:bCs/>
        </w:rPr>
      </w:pPr>
      <w:r>
        <w:rPr>
          <w:rFonts w:ascii="Arial" w:hAnsi="Arial" w:cs="Arial"/>
          <w:b/>
          <w:bCs/>
        </w:rPr>
        <w:pict w14:anchorId="3AB38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1pt;height:224.75pt">
            <v:imagedata r:id="rId24" o:title="GRAF POVindex - rijen 2021"/>
          </v:shape>
        </w:pict>
      </w:r>
    </w:p>
    <w:p w14:paraId="1B56AA06" w14:textId="77777777" w:rsidR="00E4768E" w:rsidRDefault="00E4768E" w:rsidP="00B7285B">
      <w:pPr>
        <w:jc w:val="both"/>
        <w:rPr>
          <w:rFonts w:ascii="Arial" w:hAnsi="Arial" w:cs="Arial"/>
          <w:bCs/>
          <w:sz w:val="20"/>
          <w:szCs w:val="20"/>
        </w:rPr>
      </w:pPr>
    </w:p>
    <w:p w14:paraId="5BC7E246" w14:textId="77777777" w:rsidR="00C1553C" w:rsidRPr="00E4768E" w:rsidRDefault="00C1553C" w:rsidP="00B7285B">
      <w:pPr>
        <w:jc w:val="both"/>
        <w:rPr>
          <w:rFonts w:ascii="Arial" w:hAnsi="Arial" w:cs="Arial"/>
          <w:b/>
          <w:sz w:val="20"/>
          <w:szCs w:val="20"/>
          <w:highlight w:val="yellow"/>
        </w:rPr>
      </w:pPr>
    </w:p>
    <w:p w14:paraId="3B922B24" w14:textId="441DBA3C" w:rsidR="002609B2" w:rsidRPr="00B141BF" w:rsidRDefault="00576552" w:rsidP="00C51E90">
      <w:pPr>
        <w:pStyle w:val="Nadpis1"/>
        <w:shd w:val="clear" w:color="auto" w:fill="FFFFFF"/>
        <w:ind w:left="0"/>
        <w:rPr>
          <w:rFonts w:ascii="Arial" w:hAnsi="Arial" w:cs="Arial"/>
          <w:b/>
          <w:bCs/>
          <w:sz w:val="20"/>
          <w:szCs w:val="20"/>
        </w:rPr>
      </w:pPr>
      <w:r w:rsidRPr="00B141BF">
        <w:rPr>
          <w:rFonts w:ascii="Arial" w:hAnsi="Arial" w:cs="Arial"/>
          <w:b/>
          <w:bCs/>
          <w:sz w:val="20"/>
          <w:szCs w:val="20"/>
        </w:rPr>
        <w:t xml:space="preserve">Doporučení Jiřího Váchala, jakým způsobem </w:t>
      </w:r>
      <w:r w:rsidR="00C51E90" w:rsidRPr="00B141BF">
        <w:rPr>
          <w:rFonts w:ascii="Arial" w:hAnsi="Arial" w:cs="Arial"/>
          <w:b/>
          <w:bCs/>
          <w:sz w:val="20"/>
          <w:szCs w:val="20"/>
        </w:rPr>
        <w:t xml:space="preserve">připravit </w:t>
      </w:r>
      <w:r w:rsidRPr="00B141BF">
        <w:rPr>
          <w:rFonts w:ascii="Arial" w:hAnsi="Arial" w:cs="Arial"/>
          <w:b/>
          <w:bCs/>
          <w:sz w:val="20"/>
          <w:szCs w:val="20"/>
        </w:rPr>
        <w:t>vozidlo</w:t>
      </w:r>
      <w:r w:rsidR="00595E44" w:rsidRPr="00B141BF">
        <w:rPr>
          <w:rFonts w:ascii="Arial" w:hAnsi="Arial" w:cs="Arial"/>
          <w:b/>
          <w:bCs/>
          <w:sz w:val="20"/>
          <w:szCs w:val="20"/>
        </w:rPr>
        <w:t xml:space="preserve"> na zimu</w:t>
      </w:r>
    </w:p>
    <w:p w14:paraId="1DEF075C" w14:textId="77777777" w:rsidR="000E21D2" w:rsidRPr="00576552" w:rsidRDefault="000E21D2" w:rsidP="00C51E90">
      <w:pPr>
        <w:pStyle w:val="Nadpis1"/>
        <w:shd w:val="clear" w:color="auto" w:fill="FFFFFF"/>
        <w:ind w:left="0"/>
        <w:rPr>
          <w:rFonts w:ascii="Arial" w:hAnsi="Arial" w:cs="Arial"/>
          <w:bCs/>
          <w:sz w:val="20"/>
          <w:szCs w:val="20"/>
        </w:rPr>
      </w:pPr>
    </w:p>
    <w:p w14:paraId="6A8F203D" w14:textId="0350FEA6" w:rsidR="00117988" w:rsidRPr="00576552" w:rsidRDefault="00C51E90" w:rsidP="00C51E90">
      <w:pPr>
        <w:pStyle w:val="Odstavecseseznamem"/>
        <w:numPr>
          <w:ilvl w:val="0"/>
          <w:numId w:val="19"/>
        </w:numPr>
        <w:ind w:left="360"/>
        <w:rPr>
          <w:rFonts w:ascii="Arial" w:hAnsi="Arial" w:cs="Arial"/>
          <w:bCs/>
          <w:sz w:val="20"/>
          <w:szCs w:val="20"/>
        </w:rPr>
      </w:pPr>
      <w:r>
        <w:rPr>
          <w:rFonts w:ascii="Arial" w:hAnsi="Arial" w:cs="Arial"/>
          <w:bCs/>
          <w:sz w:val="20"/>
          <w:szCs w:val="20"/>
        </w:rPr>
        <w:t>B</w:t>
      </w:r>
      <w:r w:rsidRPr="00C51E90">
        <w:rPr>
          <w:rFonts w:ascii="Arial" w:hAnsi="Arial" w:cs="Arial"/>
          <w:bCs/>
          <w:sz w:val="20"/>
          <w:szCs w:val="20"/>
        </w:rPr>
        <w:t>aterie</w:t>
      </w:r>
      <w:r>
        <w:rPr>
          <w:rFonts w:ascii="Arial" w:hAnsi="Arial" w:cs="Arial"/>
          <w:bCs/>
          <w:sz w:val="20"/>
          <w:szCs w:val="20"/>
        </w:rPr>
        <w:t xml:space="preserve"> – řidiči by ji měli důkladně zkontrolovat a případně dobít. Baterii starší než pět let je třeba vyměnit. </w:t>
      </w:r>
    </w:p>
    <w:p w14:paraId="2AD30E54" w14:textId="6BAE3F6C" w:rsidR="00117988" w:rsidRPr="00576552" w:rsidRDefault="00117988" w:rsidP="00C51E90">
      <w:pPr>
        <w:pStyle w:val="Odstavecseseznamem"/>
        <w:numPr>
          <w:ilvl w:val="0"/>
          <w:numId w:val="19"/>
        </w:numPr>
        <w:ind w:left="360"/>
        <w:rPr>
          <w:rFonts w:ascii="Arial" w:hAnsi="Arial" w:cs="Arial"/>
          <w:bCs/>
          <w:sz w:val="20"/>
          <w:szCs w:val="20"/>
        </w:rPr>
      </w:pPr>
      <w:r w:rsidRPr="00576552">
        <w:rPr>
          <w:rFonts w:ascii="Arial" w:hAnsi="Arial" w:cs="Arial"/>
          <w:bCs/>
          <w:sz w:val="20"/>
          <w:szCs w:val="20"/>
        </w:rPr>
        <w:t>Oleje a filtry</w:t>
      </w:r>
      <w:r w:rsidR="00C51E90">
        <w:rPr>
          <w:rFonts w:ascii="Arial" w:hAnsi="Arial" w:cs="Arial"/>
          <w:bCs/>
          <w:sz w:val="20"/>
          <w:szCs w:val="20"/>
        </w:rPr>
        <w:t xml:space="preserve"> – zásadní je vyměnit olej po každých 15 až 20 tisících kilometrů, popř. v rozmezí jednoho až dvou</w:t>
      </w:r>
      <w:r w:rsidRPr="00576552">
        <w:rPr>
          <w:rFonts w:ascii="Arial" w:hAnsi="Arial" w:cs="Arial"/>
          <w:bCs/>
          <w:sz w:val="20"/>
          <w:szCs w:val="20"/>
        </w:rPr>
        <w:t xml:space="preserve"> let.</w:t>
      </w:r>
    </w:p>
    <w:p w14:paraId="401782EC" w14:textId="4D638A84" w:rsidR="00117988" w:rsidRPr="00576552" w:rsidRDefault="007F2249" w:rsidP="00C51E90">
      <w:pPr>
        <w:pStyle w:val="Odstavecseseznamem"/>
        <w:numPr>
          <w:ilvl w:val="0"/>
          <w:numId w:val="19"/>
        </w:numPr>
        <w:ind w:left="360"/>
        <w:rPr>
          <w:rFonts w:ascii="Arial" w:hAnsi="Arial" w:cs="Arial"/>
          <w:bCs/>
          <w:sz w:val="20"/>
          <w:szCs w:val="20"/>
        </w:rPr>
      </w:pPr>
      <w:r w:rsidRPr="00576552">
        <w:rPr>
          <w:rFonts w:ascii="Arial" w:hAnsi="Arial" w:cs="Arial"/>
          <w:bCs/>
          <w:sz w:val="20"/>
          <w:szCs w:val="20"/>
        </w:rPr>
        <w:t>Chladicí</w:t>
      </w:r>
      <w:r w:rsidR="00117988" w:rsidRPr="00576552">
        <w:rPr>
          <w:rFonts w:ascii="Arial" w:hAnsi="Arial" w:cs="Arial"/>
          <w:bCs/>
          <w:sz w:val="20"/>
          <w:szCs w:val="20"/>
        </w:rPr>
        <w:t xml:space="preserve"> kap</w:t>
      </w:r>
      <w:r w:rsidR="00C51E90">
        <w:rPr>
          <w:rFonts w:ascii="Arial" w:hAnsi="Arial" w:cs="Arial"/>
          <w:bCs/>
          <w:sz w:val="20"/>
          <w:szCs w:val="20"/>
        </w:rPr>
        <w:t xml:space="preserve">alina – její průměrná životnost jsou </w:t>
      </w:r>
      <w:r w:rsidR="00117988" w:rsidRPr="00576552">
        <w:rPr>
          <w:rFonts w:ascii="Arial" w:hAnsi="Arial" w:cs="Arial"/>
          <w:bCs/>
          <w:sz w:val="20"/>
          <w:szCs w:val="20"/>
        </w:rPr>
        <w:t xml:space="preserve">čtyři roky. </w:t>
      </w:r>
      <w:r w:rsidR="00C51E90">
        <w:rPr>
          <w:rFonts w:ascii="Arial" w:hAnsi="Arial" w:cs="Arial"/>
          <w:bCs/>
          <w:sz w:val="20"/>
          <w:szCs w:val="20"/>
        </w:rPr>
        <w:t>Její koncentrace</w:t>
      </w:r>
      <w:r w:rsidR="00352D61">
        <w:rPr>
          <w:rFonts w:ascii="Arial" w:hAnsi="Arial" w:cs="Arial"/>
          <w:bCs/>
          <w:sz w:val="20"/>
          <w:szCs w:val="20"/>
        </w:rPr>
        <w:t xml:space="preserve"> se </w:t>
      </w:r>
      <w:r w:rsidR="00117988" w:rsidRPr="00576552">
        <w:rPr>
          <w:rFonts w:ascii="Arial" w:hAnsi="Arial" w:cs="Arial"/>
          <w:bCs/>
          <w:sz w:val="20"/>
          <w:szCs w:val="20"/>
        </w:rPr>
        <w:t xml:space="preserve">snižuje i tím, že se dolévá destilovanou vodou. </w:t>
      </w:r>
      <w:r w:rsidR="00C51E90">
        <w:rPr>
          <w:rFonts w:ascii="Arial" w:hAnsi="Arial" w:cs="Arial"/>
          <w:bCs/>
          <w:sz w:val="20"/>
          <w:szCs w:val="20"/>
        </w:rPr>
        <w:t>S ohledem na riziko zamrznutí</w:t>
      </w:r>
      <w:r w:rsidR="00352D61">
        <w:rPr>
          <w:rFonts w:ascii="Arial" w:hAnsi="Arial" w:cs="Arial"/>
          <w:bCs/>
          <w:sz w:val="20"/>
          <w:szCs w:val="20"/>
        </w:rPr>
        <w:t xml:space="preserve"> by </w:t>
      </w:r>
      <w:r w:rsidR="00BF1CB0">
        <w:rPr>
          <w:rFonts w:ascii="Arial" w:hAnsi="Arial" w:cs="Arial"/>
          <w:bCs/>
          <w:sz w:val="20"/>
          <w:szCs w:val="20"/>
        </w:rPr>
        <w:t xml:space="preserve">řidiči </w:t>
      </w:r>
      <w:r w:rsidR="00352D61">
        <w:rPr>
          <w:rFonts w:ascii="Arial" w:hAnsi="Arial" w:cs="Arial"/>
          <w:bCs/>
          <w:sz w:val="20"/>
          <w:szCs w:val="20"/>
        </w:rPr>
        <w:t xml:space="preserve">měli kapalinu </w:t>
      </w:r>
      <w:r w:rsidR="00C51E90">
        <w:rPr>
          <w:rFonts w:ascii="Arial" w:hAnsi="Arial" w:cs="Arial"/>
          <w:bCs/>
          <w:sz w:val="20"/>
          <w:szCs w:val="20"/>
        </w:rPr>
        <w:t>včas vyměnit.</w:t>
      </w:r>
    </w:p>
    <w:p w14:paraId="68846E4C" w14:textId="715E35A4" w:rsidR="00117988" w:rsidRPr="00576552" w:rsidRDefault="00117988" w:rsidP="00C51E90">
      <w:pPr>
        <w:pStyle w:val="Odstavecseseznamem"/>
        <w:numPr>
          <w:ilvl w:val="0"/>
          <w:numId w:val="19"/>
        </w:numPr>
        <w:ind w:left="360"/>
        <w:rPr>
          <w:rFonts w:ascii="Arial" w:hAnsi="Arial" w:cs="Arial"/>
          <w:bCs/>
          <w:sz w:val="20"/>
          <w:szCs w:val="20"/>
        </w:rPr>
      </w:pPr>
      <w:r w:rsidRPr="00576552">
        <w:rPr>
          <w:rFonts w:ascii="Arial" w:hAnsi="Arial" w:cs="Arial"/>
          <w:bCs/>
          <w:sz w:val="20"/>
          <w:szCs w:val="20"/>
        </w:rPr>
        <w:t>Kapalina do ostřikovačů</w:t>
      </w:r>
      <w:r w:rsidR="00C51E90">
        <w:rPr>
          <w:rFonts w:ascii="Arial" w:hAnsi="Arial" w:cs="Arial"/>
          <w:bCs/>
          <w:sz w:val="20"/>
          <w:szCs w:val="20"/>
        </w:rPr>
        <w:t xml:space="preserve"> </w:t>
      </w:r>
      <w:r w:rsidR="00CE3577">
        <w:rPr>
          <w:rFonts w:ascii="Arial" w:hAnsi="Arial" w:cs="Arial"/>
          <w:bCs/>
          <w:sz w:val="20"/>
          <w:szCs w:val="20"/>
        </w:rPr>
        <w:t>–</w:t>
      </w:r>
      <w:r w:rsidR="00C51E90">
        <w:rPr>
          <w:rFonts w:ascii="Arial" w:hAnsi="Arial" w:cs="Arial"/>
          <w:bCs/>
          <w:sz w:val="20"/>
          <w:szCs w:val="20"/>
        </w:rPr>
        <w:t xml:space="preserve"> </w:t>
      </w:r>
      <w:r w:rsidR="00CE3577">
        <w:rPr>
          <w:rFonts w:ascii="Arial" w:hAnsi="Arial" w:cs="Arial"/>
          <w:bCs/>
          <w:sz w:val="20"/>
          <w:szCs w:val="20"/>
        </w:rPr>
        <w:t xml:space="preserve">v zimních měsících dochází k rychlejšímu </w:t>
      </w:r>
      <w:r w:rsidR="00A644DF">
        <w:rPr>
          <w:rFonts w:ascii="Arial" w:hAnsi="Arial" w:cs="Arial"/>
          <w:bCs/>
          <w:sz w:val="20"/>
          <w:szCs w:val="20"/>
        </w:rPr>
        <w:t xml:space="preserve">zašpinění oken, a tak je </w:t>
      </w:r>
      <w:r w:rsidR="00CE3577">
        <w:rPr>
          <w:rFonts w:ascii="Arial" w:hAnsi="Arial" w:cs="Arial"/>
          <w:bCs/>
          <w:sz w:val="20"/>
          <w:szCs w:val="20"/>
        </w:rPr>
        <w:t xml:space="preserve">nezbytné mít doplněnou směs do ostřikovačů. </w:t>
      </w:r>
      <w:r w:rsidRPr="00576552">
        <w:rPr>
          <w:rFonts w:ascii="Arial" w:hAnsi="Arial" w:cs="Arial"/>
          <w:bCs/>
          <w:sz w:val="20"/>
          <w:szCs w:val="20"/>
        </w:rPr>
        <w:t xml:space="preserve">Zimní směsi </w:t>
      </w:r>
      <w:r w:rsidR="00CE3577">
        <w:rPr>
          <w:rFonts w:ascii="Arial" w:hAnsi="Arial" w:cs="Arial"/>
          <w:bCs/>
          <w:sz w:val="20"/>
          <w:szCs w:val="20"/>
        </w:rPr>
        <w:t>jsou kategorizovány</w:t>
      </w:r>
      <w:r w:rsidRPr="00576552">
        <w:rPr>
          <w:rFonts w:ascii="Arial" w:hAnsi="Arial" w:cs="Arial"/>
          <w:bCs/>
          <w:sz w:val="20"/>
          <w:szCs w:val="20"/>
        </w:rPr>
        <w:t xml:space="preserve"> podle odolnosti </w:t>
      </w:r>
      <w:r w:rsidR="00A644DF">
        <w:rPr>
          <w:rFonts w:ascii="Arial" w:hAnsi="Arial" w:cs="Arial"/>
          <w:bCs/>
          <w:sz w:val="20"/>
          <w:szCs w:val="20"/>
        </w:rPr>
        <w:t>vůči mrazu, a to -20 °C, -30 °C a -40 °</w:t>
      </w:r>
      <w:r w:rsidRPr="00576552">
        <w:rPr>
          <w:rFonts w:ascii="Arial" w:hAnsi="Arial" w:cs="Arial"/>
          <w:bCs/>
          <w:sz w:val="20"/>
          <w:szCs w:val="20"/>
        </w:rPr>
        <w:t>C.</w:t>
      </w:r>
    </w:p>
    <w:p w14:paraId="5E263393" w14:textId="3C074972" w:rsidR="000D11FB" w:rsidRPr="00576552" w:rsidRDefault="000D11FB" w:rsidP="00C51E90">
      <w:pPr>
        <w:pStyle w:val="Odstavecseseznamem"/>
        <w:numPr>
          <w:ilvl w:val="0"/>
          <w:numId w:val="19"/>
        </w:numPr>
        <w:ind w:left="360"/>
        <w:rPr>
          <w:rFonts w:ascii="Arial" w:hAnsi="Arial" w:cs="Arial"/>
          <w:bCs/>
          <w:sz w:val="20"/>
          <w:szCs w:val="20"/>
        </w:rPr>
      </w:pPr>
      <w:r w:rsidRPr="00576552">
        <w:rPr>
          <w:rFonts w:ascii="Arial" w:hAnsi="Arial" w:cs="Arial"/>
          <w:bCs/>
          <w:sz w:val="20"/>
          <w:szCs w:val="20"/>
        </w:rPr>
        <w:lastRenderedPageBreak/>
        <w:t>Rozmrazovač zámků</w:t>
      </w:r>
      <w:r w:rsidR="00A644DF">
        <w:rPr>
          <w:rFonts w:ascii="Arial" w:hAnsi="Arial" w:cs="Arial"/>
          <w:bCs/>
          <w:sz w:val="20"/>
          <w:szCs w:val="20"/>
        </w:rPr>
        <w:t xml:space="preserve"> </w:t>
      </w:r>
      <w:r w:rsidR="00BF1CB0">
        <w:rPr>
          <w:rFonts w:ascii="Arial" w:hAnsi="Arial" w:cs="Arial"/>
          <w:bCs/>
          <w:sz w:val="20"/>
          <w:szCs w:val="20"/>
        </w:rPr>
        <w:t xml:space="preserve">u dveří </w:t>
      </w:r>
      <w:r w:rsidR="00A644DF">
        <w:rPr>
          <w:rFonts w:ascii="Arial" w:hAnsi="Arial" w:cs="Arial"/>
          <w:bCs/>
          <w:sz w:val="20"/>
          <w:szCs w:val="20"/>
        </w:rPr>
        <w:t xml:space="preserve">– častou chybou řidičů je, že tento </w:t>
      </w:r>
      <w:r w:rsidRPr="00576552">
        <w:rPr>
          <w:rFonts w:ascii="Arial" w:hAnsi="Arial" w:cs="Arial"/>
          <w:bCs/>
          <w:sz w:val="20"/>
          <w:szCs w:val="20"/>
        </w:rPr>
        <w:t>přípravek</w:t>
      </w:r>
      <w:r w:rsidR="00A644DF">
        <w:rPr>
          <w:rFonts w:ascii="Arial" w:hAnsi="Arial" w:cs="Arial"/>
          <w:bCs/>
          <w:sz w:val="20"/>
          <w:szCs w:val="20"/>
        </w:rPr>
        <w:t xml:space="preserve"> mají umístěn ve vozidle, a nikoli u sebe, tudíž jej v případě </w:t>
      </w:r>
      <w:r w:rsidR="00352D61">
        <w:rPr>
          <w:rFonts w:ascii="Arial" w:hAnsi="Arial" w:cs="Arial"/>
          <w:bCs/>
          <w:sz w:val="20"/>
          <w:szCs w:val="20"/>
        </w:rPr>
        <w:t>potřeby</w:t>
      </w:r>
      <w:r w:rsidR="00A644DF">
        <w:rPr>
          <w:rFonts w:ascii="Arial" w:hAnsi="Arial" w:cs="Arial"/>
          <w:bCs/>
          <w:sz w:val="20"/>
          <w:szCs w:val="20"/>
        </w:rPr>
        <w:t xml:space="preserve"> rozmrazit zámek nemohou využít. </w:t>
      </w:r>
    </w:p>
    <w:p w14:paraId="0C484158" w14:textId="2391AF53" w:rsidR="000D11FB" w:rsidRPr="00576552" w:rsidRDefault="000D11FB" w:rsidP="00C51E90">
      <w:pPr>
        <w:pStyle w:val="Odstavecseseznamem"/>
        <w:numPr>
          <w:ilvl w:val="0"/>
          <w:numId w:val="19"/>
        </w:numPr>
        <w:ind w:left="360"/>
        <w:rPr>
          <w:rFonts w:ascii="Arial" w:hAnsi="Arial" w:cs="Arial"/>
          <w:bCs/>
          <w:sz w:val="20"/>
          <w:szCs w:val="20"/>
        </w:rPr>
      </w:pPr>
      <w:r w:rsidRPr="00576552">
        <w:rPr>
          <w:rFonts w:ascii="Arial" w:hAnsi="Arial" w:cs="Arial"/>
          <w:bCs/>
          <w:sz w:val="20"/>
          <w:szCs w:val="20"/>
        </w:rPr>
        <w:t>Řetězy na kola do sněhu</w:t>
      </w:r>
      <w:r w:rsidR="00BF1CB0">
        <w:rPr>
          <w:rFonts w:ascii="Arial" w:hAnsi="Arial" w:cs="Arial"/>
          <w:bCs/>
          <w:sz w:val="20"/>
          <w:szCs w:val="20"/>
        </w:rPr>
        <w:t xml:space="preserve"> – řidiči, kteří plánují cestu do hor anebo bydlí</w:t>
      </w:r>
      <w:r w:rsidRPr="00576552">
        <w:rPr>
          <w:rFonts w:ascii="Arial" w:hAnsi="Arial" w:cs="Arial"/>
          <w:bCs/>
          <w:sz w:val="20"/>
          <w:szCs w:val="20"/>
        </w:rPr>
        <w:t xml:space="preserve"> v horských oblastech, </w:t>
      </w:r>
      <w:r w:rsidR="00BF1CB0">
        <w:rPr>
          <w:rFonts w:ascii="Arial" w:hAnsi="Arial" w:cs="Arial"/>
          <w:bCs/>
          <w:sz w:val="20"/>
          <w:szCs w:val="20"/>
        </w:rPr>
        <w:t xml:space="preserve">by měli zvážit pořízení řetězů. Lehčí alternativou je pak tzv. </w:t>
      </w:r>
      <w:r w:rsidRPr="00576552">
        <w:rPr>
          <w:rFonts w:ascii="Arial" w:hAnsi="Arial" w:cs="Arial"/>
          <w:bCs/>
          <w:sz w:val="20"/>
          <w:szCs w:val="20"/>
        </w:rPr>
        <w:t>t</w:t>
      </w:r>
      <w:r w:rsidR="00BF1CB0">
        <w:rPr>
          <w:rFonts w:ascii="Arial" w:hAnsi="Arial" w:cs="Arial"/>
          <w:bCs/>
          <w:sz w:val="20"/>
          <w:szCs w:val="20"/>
        </w:rPr>
        <w:t>extilní ponožka</w:t>
      </w:r>
      <w:r w:rsidRPr="00576552">
        <w:rPr>
          <w:rFonts w:ascii="Arial" w:hAnsi="Arial" w:cs="Arial"/>
          <w:bCs/>
          <w:sz w:val="20"/>
          <w:szCs w:val="20"/>
        </w:rPr>
        <w:t xml:space="preserve">, která </w:t>
      </w:r>
      <w:r w:rsidR="00BF1CB0">
        <w:rPr>
          <w:rFonts w:ascii="Arial" w:hAnsi="Arial" w:cs="Arial"/>
          <w:bCs/>
          <w:sz w:val="20"/>
          <w:szCs w:val="20"/>
        </w:rPr>
        <w:t>řidičům</w:t>
      </w:r>
      <w:r w:rsidRPr="00576552">
        <w:rPr>
          <w:rFonts w:ascii="Arial" w:hAnsi="Arial" w:cs="Arial"/>
          <w:bCs/>
          <w:sz w:val="20"/>
          <w:szCs w:val="20"/>
        </w:rPr>
        <w:t xml:space="preserve"> pomůže překonat náročnější úseky. </w:t>
      </w:r>
    </w:p>
    <w:p w14:paraId="5CF9A6C8" w14:textId="541F3D14" w:rsidR="00152185" w:rsidRPr="00BF1CB0" w:rsidRDefault="00BF1CB0" w:rsidP="00BF1CB0">
      <w:pPr>
        <w:pStyle w:val="Odstavecseseznamem"/>
        <w:numPr>
          <w:ilvl w:val="0"/>
          <w:numId w:val="19"/>
        </w:numPr>
        <w:ind w:left="360"/>
        <w:rPr>
          <w:rFonts w:ascii="Arial" w:hAnsi="Arial" w:cs="Arial"/>
          <w:bCs/>
          <w:sz w:val="20"/>
          <w:szCs w:val="20"/>
        </w:rPr>
      </w:pPr>
      <w:r>
        <w:rPr>
          <w:rFonts w:ascii="Arial" w:hAnsi="Arial" w:cs="Arial"/>
          <w:bCs/>
          <w:sz w:val="20"/>
          <w:szCs w:val="20"/>
        </w:rPr>
        <w:t>P</w:t>
      </w:r>
      <w:r w:rsidR="000D11FB" w:rsidRPr="00BF1CB0">
        <w:rPr>
          <w:rFonts w:ascii="Arial" w:hAnsi="Arial" w:cs="Arial"/>
          <w:bCs/>
          <w:sz w:val="20"/>
          <w:szCs w:val="20"/>
        </w:rPr>
        <w:t>ojištění vozidla</w:t>
      </w:r>
      <w:r>
        <w:rPr>
          <w:rFonts w:ascii="Arial" w:hAnsi="Arial" w:cs="Arial"/>
          <w:bCs/>
          <w:sz w:val="20"/>
          <w:szCs w:val="20"/>
        </w:rPr>
        <w:t xml:space="preserve"> – k</w:t>
      </w:r>
      <w:r w:rsidR="000D11FB" w:rsidRPr="00BF1CB0">
        <w:rPr>
          <w:rFonts w:ascii="Arial" w:hAnsi="Arial" w:cs="Arial"/>
          <w:bCs/>
          <w:sz w:val="20"/>
          <w:szCs w:val="20"/>
        </w:rPr>
        <w:t> povinnému ručení pojišťovny nabíz</w:t>
      </w:r>
      <w:r>
        <w:rPr>
          <w:rFonts w:ascii="Arial" w:hAnsi="Arial" w:cs="Arial"/>
          <w:bCs/>
          <w:sz w:val="20"/>
          <w:szCs w:val="20"/>
        </w:rPr>
        <w:t>ej</w:t>
      </w:r>
      <w:r w:rsidR="000D11FB" w:rsidRPr="00BF1CB0">
        <w:rPr>
          <w:rFonts w:ascii="Arial" w:hAnsi="Arial" w:cs="Arial"/>
          <w:bCs/>
          <w:sz w:val="20"/>
          <w:szCs w:val="20"/>
        </w:rPr>
        <w:t>í</w:t>
      </w:r>
      <w:r w:rsidR="00D40D11" w:rsidRPr="00BF1CB0">
        <w:rPr>
          <w:rFonts w:ascii="Arial" w:hAnsi="Arial" w:cs="Arial"/>
          <w:bCs/>
          <w:sz w:val="20"/>
          <w:szCs w:val="20"/>
        </w:rPr>
        <w:t xml:space="preserve"> připojištění při krytí rizik spojených se živelným nebezpečím. </w:t>
      </w:r>
      <w:r>
        <w:rPr>
          <w:rFonts w:ascii="Arial" w:hAnsi="Arial" w:cs="Arial"/>
          <w:bCs/>
          <w:sz w:val="20"/>
          <w:szCs w:val="20"/>
        </w:rPr>
        <w:t>Tím m</w:t>
      </w:r>
      <w:r w:rsidR="00352D61">
        <w:rPr>
          <w:rFonts w:ascii="Arial" w:hAnsi="Arial" w:cs="Arial"/>
          <w:bCs/>
          <w:sz w:val="20"/>
          <w:szCs w:val="20"/>
        </w:rPr>
        <w:t xml:space="preserve">ůže </w:t>
      </w:r>
      <w:r>
        <w:rPr>
          <w:rFonts w:ascii="Arial" w:hAnsi="Arial" w:cs="Arial"/>
          <w:bCs/>
          <w:sz w:val="20"/>
          <w:szCs w:val="20"/>
        </w:rPr>
        <w:t xml:space="preserve">být </w:t>
      </w:r>
      <w:r w:rsidR="00B141BF" w:rsidRPr="00BF1CB0">
        <w:rPr>
          <w:rFonts w:ascii="Arial" w:hAnsi="Arial" w:cs="Arial"/>
          <w:bCs/>
          <w:sz w:val="20"/>
          <w:szCs w:val="20"/>
        </w:rPr>
        <w:t>pád stromu</w:t>
      </w:r>
      <w:r w:rsidR="00B141BF">
        <w:rPr>
          <w:rFonts w:ascii="Arial" w:hAnsi="Arial" w:cs="Arial"/>
          <w:bCs/>
          <w:sz w:val="20"/>
          <w:szCs w:val="20"/>
        </w:rPr>
        <w:t xml:space="preserve"> (i v důsledku přetížení sněhem), </w:t>
      </w:r>
      <w:r>
        <w:rPr>
          <w:rFonts w:ascii="Arial" w:hAnsi="Arial" w:cs="Arial"/>
          <w:bCs/>
          <w:sz w:val="20"/>
          <w:szCs w:val="20"/>
        </w:rPr>
        <w:t>zřícení laviny, k</w:t>
      </w:r>
      <w:r w:rsidR="00D40D11" w:rsidRPr="00BF1CB0">
        <w:rPr>
          <w:rFonts w:ascii="Arial" w:hAnsi="Arial" w:cs="Arial"/>
          <w:bCs/>
          <w:sz w:val="20"/>
          <w:szCs w:val="20"/>
        </w:rPr>
        <w:t xml:space="preserve">rupobití, vichřice, bouřka, </w:t>
      </w:r>
      <w:r>
        <w:rPr>
          <w:rFonts w:ascii="Arial" w:hAnsi="Arial" w:cs="Arial"/>
          <w:bCs/>
          <w:sz w:val="20"/>
          <w:szCs w:val="20"/>
        </w:rPr>
        <w:t>povodeň či požár.</w:t>
      </w:r>
    </w:p>
    <w:p w14:paraId="7E4EBB19" w14:textId="77777777" w:rsidR="00152185" w:rsidRPr="00576552" w:rsidRDefault="00152185" w:rsidP="00C51E90">
      <w:pPr>
        <w:pStyle w:val="Odstavecseseznamem"/>
        <w:ind w:left="360" w:firstLine="0"/>
        <w:rPr>
          <w:rFonts w:ascii="Arial" w:hAnsi="Arial" w:cs="Arial"/>
          <w:bCs/>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7C444476" w14:textId="77777777" w:rsidR="00763554" w:rsidRPr="00F64A9E" w:rsidRDefault="00763554" w:rsidP="00B7285B">
      <w:pPr>
        <w:pStyle w:val="Zkladntext"/>
        <w:spacing w:before="33" w:line="237" w:lineRule="auto"/>
        <w:jc w:val="both"/>
        <w:rPr>
          <w:rFonts w:ascii="Arial" w:hAnsi="Arial" w:cs="Arial"/>
          <w:b/>
          <w:sz w:val="20"/>
          <w:szCs w:val="20"/>
        </w:rPr>
      </w:pPr>
    </w:p>
    <w:p w14:paraId="0F24D052" w14:textId="6B8C0BB9"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28F8B" w14:textId="77777777" w:rsidR="00A27600" w:rsidRDefault="00A27600">
      <w:r>
        <w:separator/>
      </w:r>
    </w:p>
  </w:endnote>
  <w:endnote w:type="continuationSeparator" w:id="0">
    <w:p w14:paraId="07B7C721" w14:textId="77777777" w:rsidR="00A27600" w:rsidRDefault="00A27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00"/>
    <w:family w:val="swiss"/>
    <w:pitch w:val="variable"/>
    <w:sig w:usb0="20002A87" w:usb1="80000000" w:usb2="00000008"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A27600"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7437EE"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A27600"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7437EE"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A27600"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7437EE"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1642D" w14:textId="77777777" w:rsidR="00A27600" w:rsidRDefault="00A27600">
      <w:r>
        <w:separator/>
      </w:r>
    </w:p>
  </w:footnote>
  <w:footnote w:type="continuationSeparator" w:id="0">
    <w:p w14:paraId="64E2EDAA" w14:textId="77777777" w:rsidR="00A27600" w:rsidRDefault="00A27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62E18"/>
    <w:rsid w:val="00066A72"/>
    <w:rsid w:val="00067BA6"/>
    <w:rsid w:val="0007340D"/>
    <w:rsid w:val="00076845"/>
    <w:rsid w:val="00076C44"/>
    <w:rsid w:val="000866C0"/>
    <w:rsid w:val="00091509"/>
    <w:rsid w:val="000C351D"/>
    <w:rsid w:val="000C38CB"/>
    <w:rsid w:val="000C53D6"/>
    <w:rsid w:val="000D11FB"/>
    <w:rsid w:val="000D2DDE"/>
    <w:rsid w:val="000D333C"/>
    <w:rsid w:val="000D6870"/>
    <w:rsid w:val="000E21D2"/>
    <w:rsid w:val="000E286C"/>
    <w:rsid w:val="000F1935"/>
    <w:rsid w:val="000F47AE"/>
    <w:rsid w:val="000F6249"/>
    <w:rsid w:val="00100869"/>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3161"/>
    <w:rsid w:val="00160060"/>
    <w:rsid w:val="001603AF"/>
    <w:rsid w:val="001722EA"/>
    <w:rsid w:val="00177E6B"/>
    <w:rsid w:val="0018139F"/>
    <w:rsid w:val="00194628"/>
    <w:rsid w:val="00197408"/>
    <w:rsid w:val="00197DE5"/>
    <w:rsid w:val="001A210B"/>
    <w:rsid w:val="001A54DD"/>
    <w:rsid w:val="001B195D"/>
    <w:rsid w:val="001B1C05"/>
    <w:rsid w:val="001B5A35"/>
    <w:rsid w:val="001B5D34"/>
    <w:rsid w:val="001B79AC"/>
    <w:rsid w:val="001C4A67"/>
    <w:rsid w:val="001E68DE"/>
    <w:rsid w:val="002108A4"/>
    <w:rsid w:val="00214949"/>
    <w:rsid w:val="00214E98"/>
    <w:rsid w:val="002174D5"/>
    <w:rsid w:val="0022642E"/>
    <w:rsid w:val="002333DA"/>
    <w:rsid w:val="0023472C"/>
    <w:rsid w:val="00237D4E"/>
    <w:rsid w:val="00241313"/>
    <w:rsid w:val="002506AD"/>
    <w:rsid w:val="0025264B"/>
    <w:rsid w:val="00255E96"/>
    <w:rsid w:val="002609B2"/>
    <w:rsid w:val="00261C33"/>
    <w:rsid w:val="00267A14"/>
    <w:rsid w:val="00270DB3"/>
    <w:rsid w:val="0028080D"/>
    <w:rsid w:val="002A2FB9"/>
    <w:rsid w:val="002A7AE9"/>
    <w:rsid w:val="002B053B"/>
    <w:rsid w:val="002B3EE0"/>
    <w:rsid w:val="002B5B4B"/>
    <w:rsid w:val="002C635D"/>
    <w:rsid w:val="002E2785"/>
    <w:rsid w:val="002E27C5"/>
    <w:rsid w:val="002F0335"/>
    <w:rsid w:val="002F0C79"/>
    <w:rsid w:val="002F6814"/>
    <w:rsid w:val="002F68D1"/>
    <w:rsid w:val="00302AE6"/>
    <w:rsid w:val="00303C85"/>
    <w:rsid w:val="0030477F"/>
    <w:rsid w:val="00305EA9"/>
    <w:rsid w:val="00307D0F"/>
    <w:rsid w:val="00312311"/>
    <w:rsid w:val="003128F8"/>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D653E"/>
    <w:rsid w:val="003E2ADC"/>
    <w:rsid w:val="003F38E5"/>
    <w:rsid w:val="003F73C3"/>
    <w:rsid w:val="00404CDA"/>
    <w:rsid w:val="0041224F"/>
    <w:rsid w:val="00415BA7"/>
    <w:rsid w:val="00416F40"/>
    <w:rsid w:val="00422B4E"/>
    <w:rsid w:val="0042625B"/>
    <w:rsid w:val="0043263D"/>
    <w:rsid w:val="004336FA"/>
    <w:rsid w:val="004349B6"/>
    <w:rsid w:val="004413A6"/>
    <w:rsid w:val="00445D0A"/>
    <w:rsid w:val="00453482"/>
    <w:rsid w:val="00453CFE"/>
    <w:rsid w:val="00467207"/>
    <w:rsid w:val="004809C7"/>
    <w:rsid w:val="00483A48"/>
    <w:rsid w:val="0048779A"/>
    <w:rsid w:val="00493430"/>
    <w:rsid w:val="00495519"/>
    <w:rsid w:val="00496EFA"/>
    <w:rsid w:val="004A245D"/>
    <w:rsid w:val="004A26A6"/>
    <w:rsid w:val="004A2E7A"/>
    <w:rsid w:val="004B4992"/>
    <w:rsid w:val="004B73DC"/>
    <w:rsid w:val="004C3C0D"/>
    <w:rsid w:val="004C4033"/>
    <w:rsid w:val="004C798D"/>
    <w:rsid w:val="004C7BB5"/>
    <w:rsid w:val="004D4111"/>
    <w:rsid w:val="004E1108"/>
    <w:rsid w:val="004E207F"/>
    <w:rsid w:val="004E3877"/>
    <w:rsid w:val="004F0D7B"/>
    <w:rsid w:val="004F2548"/>
    <w:rsid w:val="004F5CC5"/>
    <w:rsid w:val="005039B0"/>
    <w:rsid w:val="00520EA0"/>
    <w:rsid w:val="0052748B"/>
    <w:rsid w:val="005336E7"/>
    <w:rsid w:val="00543BFB"/>
    <w:rsid w:val="00543F98"/>
    <w:rsid w:val="00547816"/>
    <w:rsid w:val="00561757"/>
    <w:rsid w:val="005733BD"/>
    <w:rsid w:val="0057359A"/>
    <w:rsid w:val="00576552"/>
    <w:rsid w:val="005773EE"/>
    <w:rsid w:val="00580B4C"/>
    <w:rsid w:val="00580D50"/>
    <w:rsid w:val="00587B4C"/>
    <w:rsid w:val="0059081F"/>
    <w:rsid w:val="00592071"/>
    <w:rsid w:val="00595E44"/>
    <w:rsid w:val="00596E22"/>
    <w:rsid w:val="005A61D5"/>
    <w:rsid w:val="005A6E1C"/>
    <w:rsid w:val="005A75AE"/>
    <w:rsid w:val="005B13F7"/>
    <w:rsid w:val="005B360B"/>
    <w:rsid w:val="005D5B42"/>
    <w:rsid w:val="005D7DFF"/>
    <w:rsid w:val="005E443E"/>
    <w:rsid w:val="005E4C96"/>
    <w:rsid w:val="005F31C1"/>
    <w:rsid w:val="006033BD"/>
    <w:rsid w:val="00624C21"/>
    <w:rsid w:val="00640494"/>
    <w:rsid w:val="00646D74"/>
    <w:rsid w:val="00650902"/>
    <w:rsid w:val="0065153C"/>
    <w:rsid w:val="006618CF"/>
    <w:rsid w:val="006652BA"/>
    <w:rsid w:val="00667000"/>
    <w:rsid w:val="006676D9"/>
    <w:rsid w:val="00673898"/>
    <w:rsid w:val="0067482F"/>
    <w:rsid w:val="00675503"/>
    <w:rsid w:val="00682B2C"/>
    <w:rsid w:val="006849F6"/>
    <w:rsid w:val="00684BC2"/>
    <w:rsid w:val="00684D30"/>
    <w:rsid w:val="006856FF"/>
    <w:rsid w:val="006863D8"/>
    <w:rsid w:val="00695734"/>
    <w:rsid w:val="00695EEC"/>
    <w:rsid w:val="006B7FBE"/>
    <w:rsid w:val="006C2E50"/>
    <w:rsid w:val="006C6246"/>
    <w:rsid w:val="006C7AE7"/>
    <w:rsid w:val="006D5A9A"/>
    <w:rsid w:val="006E1F02"/>
    <w:rsid w:val="006F6676"/>
    <w:rsid w:val="007066E2"/>
    <w:rsid w:val="0072349E"/>
    <w:rsid w:val="007253E3"/>
    <w:rsid w:val="007255CD"/>
    <w:rsid w:val="007334EA"/>
    <w:rsid w:val="00735F36"/>
    <w:rsid w:val="00737025"/>
    <w:rsid w:val="00737FB2"/>
    <w:rsid w:val="007437EE"/>
    <w:rsid w:val="0075063F"/>
    <w:rsid w:val="00763554"/>
    <w:rsid w:val="007652AE"/>
    <w:rsid w:val="00781039"/>
    <w:rsid w:val="007A5C4C"/>
    <w:rsid w:val="007B0579"/>
    <w:rsid w:val="007B7906"/>
    <w:rsid w:val="007D22BA"/>
    <w:rsid w:val="007D3C35"/>
    <w:rsid w:val="007D4A60"/>
    <w:rsid w:val="007E30B0"/>
    <w:rsid w:val="007E37C0"/>
    <w:rsid w:val="007E6279"/>
    <w:rsid w:val="007F2249"/>
    <w:rsid w:val="007F6C2A"/>
    <w:rsid w:val="008020D3"/>
    <w:rsid w:val="00804869"/>
    <w:rsid w:val="00804908"/>
    <w:rsid w:val="0080704C"/>
    <w:rsid w:val="00807BBD"/>
    <w:rsid w:val="008120DB"/>
    <w:rsid w:val="00813665"/>
    <w:rsid w:val="0081479B"/>
    <w:rsid w:val="00815ECC"/>
    <w:rsid w:val="00835736"/>
    <w:rsid w:val="00836DF0"/>
    <w:rsid w:val="00837AF9"/>
    <w:rsid w:val="00854470"/>
    <w:rsid w:val="00861B39"/>
    <w:rsid w:val="00864D3B"/>
    <w:rsid w:val="00866220"/>
    <w:rsid w:val="008672D5"/>
    <w:rsid w:val="00870A8D"/>
    <w:rsid w:val="00874C32"/>
    <w:rsid w:val="00876E01"/>
    <w:rsid w:val="00882EAC"/>
    <w:rsid w:val="00887004"/>
    <w:rsid w:val="00892BA9"/>
    <w:rsid w:val="008A04D3"/>
    <w:rsid w:val="008A4334"/>
    <w:rsid w:val="008C3AC7"/>
    <w:rsid w:val="008C5342"/>
    <w:rsid w:val="008C692E"/>
    <w:rsid w:val="008C7A52"/>
    <w:rsid w:val="008D4344"/>
    <w:rsid w:val="008E0C1C"/>
    <w:rsid w:val="008E4A71"/>
    <w:rsid w:val="008E5FF5"/>
    <w:rsid w:val="00906147"/>
    <w:rsid w:val="0091561E"/>
    <w:rsid w:val="00915ADA"/>
    <w:rsid w:val="00917467"/>
    <w:rsid w:val="00922831"/>
    <w:rsid w:val="00922872"/>
    <w:rsid w:val="00924030"/>
    <w:rsid w:val="0093538A"/>
    <w:rsid w:val="009362DC"/>
    <w:rsid w:val="00937D6D"/>
    <w:rsid w:val="00937EF5"/>
    <w:rsid w:val="0095216F"/>
    <w:rsid w:val="0095680F"/>
    <w:rsid w:val="00960235"/>
    <w:rsid w:val="009612EF"/>
    <w:rsid w:val="00962D05"/>
    <w:rsid w:val="0096488C"/>
    <w:rsid w:val="00965007"/>
    <w:rsid w:val="00967EDE"/>
    <w:rsid w:val="009706CE"/>
    <w:rsid w:val="0097633B"/>
    <w:rsid w:val="00976A70"/>
    <w:rsid w:val="00982774"/>
    <w:rsid w:val="00986C46"/>
    <w:rsid w:val="009A6BB3"/>
    <w:rsid w:val="009B4FF9"/>
    <w:rsid w:val="009C0793"/>
    <w:rsid w:val="009C0ECA"/>
    <w:rsid w:val="009C1B84"/>
    <w:rsid w:val="009C535B"/>
    <w:rsid w:val="009C7478"/>
    <w:rsid w:val="009D23D9"/>
    <w:rsid w:val="009D2988"/>
    <w:rsid w:val="009D556F"/>
    <w:rsid w:val="009D6FFC"/>
    <w:rsid w:val="009E3060"/>
    <w:rsid w:val="009E317D"/>
    <w:rsid w:val="009E6ADA"/>
    <w:rsid w:val="009F2CB2"/>
    <w:rsid w:val="009F42D5"/>
    <w:rsid w:val="009F59EE"/>
    <w:rsid w:val="00A00614"/>
    <w:rsid w:val="00A06687"/>
    <w:rsid w:val="00A15C5F"/>
    <w:rsid w:val="00A1706A"/>
    <w:rsid w:val="00A2129E"/>
    <w:rsid w:val="00A267CE"/>
    <w:rsid w:val="00A27600"/>
    <w:rsid w:val="00A34404"/>
    <w:rsid w:val="00A345F7"/>
    <w:rsid w:val="00A351F4"/>
    <w:rsid w:val="00A35900"/>
    <w:rsid w:val="00A36D79"/>
    <w:rsid w:val="00A51DB8"/>
    <w:rsid w:val="00A526C9"/>
    <w:rsid w:val="00A52E40"/>
    <w:rsid w:val="00A644DF"/>
    <w:rsid w:val="00A661EE"/>
    <w:rsid w:val="00A672EA"/>
    <w:rsid w:val="00A67865"/>
    <w:rsid w:val="00A706DB"/>
    <w:rsid w:val="00A75581"/>
    <w:rsid w:val="00A85069"/>
    <w:rsid w:val="00A902B4"/>
    <w:rsid w:val="00AA1EF9"/>
    <w:rsid w:val="00AA3C5C"/>
    <w:rsid w:val="00AC0B97"/>
    <w:rsid w:val="00AC14FC"/>
    <w:rsid w:val="00AC1B87"/>
    <w:rsid w:val="00AD3089"/>
    <w:rsid w:val="00AE4CC4"/>
    <w:rsid w:val="00AE662F"/>
    <w:rsid w:val="00AE7AFA"/>
    <w:rsid w:val="00AF080F"/>
    <w:rsid w:val="00AF0BE0"/>
    <w:rsid w:val="00AF2D1B"/>
    <w:rsid w:val="00B00B35"/>
    <w:rsid w:val="00B03608"/>
    <w:rsid w:val="00B0598D"/>
    <w:rsid w:val="00B066DB"/>
    <w:rsid w:val="00B0741A"/>
    <w:rsid w:val="00B141BF"/>
    <w:rsid w:val="00B15FD4"/>
    <w:rsid w:val="00B177AF"/>
    <w:rsid w:val="00B21A92"/>
    <w:rsid w:val="00B21D7F"/>
    <w:rsid w:val="00B244B9"/>
    <w:rsid w:val="00B24AB2"/>
    <w:rsid w:val="00B26C1E"/>
    <w:rsid w:val="00B278D2"/>
    <w:rsid w:val="00B30195"/>
    <w:rsid w:val="00B3074F"/>
    <w:rsid w:val="00B34562"/>
    <w:rsid w:val="00B41012"/>
    <w:rsid w:val="00B45ED0"/>
    <w:rsid w:val="00B45F71"/>
    <w:rsid w:val="00B46015"/>
    <w:rsid w:val="00B52B36"/>
    <w:rsid w:val="00B6512E"/>
    <w:rsid w:val="00B65A3B"/>
    <w:rsid w:val="00B708C9"/>
    <w:rsid w:val="00B70A80"/>
    <w:rsid w:val="00B7116F"/>
    <w:rsid w:val="00B714D3"/>
    <w:rsid w:val="00B7285B"/>
    <w:rsid w:val="00B777C3"/>
    <w:rsid w:val="00B81F38"/>
    <w:rsid w:val="00B86D21"/>
    <w:rsid w:val="00B95EBA"/>
    <w:rsid w:val="00BA29AE"/>
    <w:rsid w:val="00BA6059"/>
    <w:rsid w:val="00BA6DBC"/>
    <w:rsid w:val="00BB0801"/>
    <w:rsid w:val="00BB5F03"/>
    <w:rsid w:val="00BC1BA1"/>
    <w:rsid w:val="00BC30D1"/>
    <w:rsid w:val="00BD18EA"/>
    <w:rsid w:val="00BD25BD"/>
    <w:rsid w:val="00BD26AB"/>
    <w:rsid w:val="00BD6A7F"/>
    <w:rsid w:val="00BD7095"/>
    <w:rsid w:val="00BE127F"/>
    <w:rsid w:val="00BE34DD"/>
    <w:rsid w:val="00BF0F80"/>
    <w:rsid w:val="00BF1CB0"/>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4B40"/>
    <w:rsid w:val="00C7462C"/>
    <w:rsid w:val="00C85AB7"/>
    <w:rsid w:val="00CA3FE4"/>
    <w:rsid w:val="00CB1985"/>
    <w:rsid w:val="00CB7416"/>
    <w:rsid w:val="00CC32D9"/>
    <w:rsid w:val="00CC5BEB"/>
    <w:rsid w:val="00CC7C89"/>
    <w:rsid w:val="00CD3324"/>
    <w:rsid w:val="00CD3C1E"/>
    <w:rsid w:val="00CE2578"/>
    <w:rsid w:val="00CE3577"/>
    <w:rsid w:val="00CF10DA"/>
    <w:rsid w:val="00CF2718"/>
    <w:rsid w:val="00CF3762"/>
    <w:rsid w:val="00D01832"/>
    <w:rsid w:val="00D132FF"/>
    <w:rsid w:val="00D16F9E"/>
    <w:rsid w:val="00D21B27"/>
    <w:rsid w:val="00D22A67"/>
    <w:rsid w:val="00D245D2"/>
    <w:rsid w:val="00D25B0B"/>
    <w:rsid w:val="00D31127"/>
    <w:rsid w:val="00D31FA8"/>
    <w:rsid w:val="00D36065"/>
    <w:rsid w:val="00D40D11"/>
    <w:rsid w:val="00D423AD"/>
    <w:rsid w:val="00D46528"/>
    <w:rsid w:val="00D46E13"/>
    <w:rsid w:val="00D4733D"/>
    <w:rsid w:val="00D53085"/>
    <w:rsid w:val="00D63DD3"/>
    <w:rsid w:val="00D777C9"/>
    <w:rsid w:val="00D80B6D"/>
    <w:rsid w:val="00D82E2D"/>
    <w:rsid w:val="00D8513A"/>
    <w:rsid w:val="00D87CCE"/>
    <w:rsid w:val="00D9306C"/>
    <w:rsid w:val="00DA327C"/>
    <w:rsid w:val="00DA576C"/>
    <w:rsid w:val="00DA7689"/>
    <w:rsid w:val="00DB365A"/>
    <w:rsid w:val="00DB4335"/>
    <w:rsid w:val="00DC6AB6"/>
    <w:rsid w:val="00DD1EC1"/>
    <w:rsid w:val="00DE448F"/>
    <w:rsid w:val="00DE75F4"/>
    <w:rsid w:val="00DE7CE1"/>
    <w:rsid w:val="00DF006F"/>
    <w:rsid w:val="00DF2A53"/>
    <w:rsid w:val="00DF388B"/>
    <w:rsid w:val="00E04F7B"/>
    <w:rsid w:val="00E121F2"/>
    <w:rsid w:val="00E16FE8"/>
    <w:rsid w:val="00E17539"/>
    <w:rsid w:val="00E343B0"/>
    <w:rsid w:val="00E364A9"/>
    <w:rsid w:val="00E400AA"/>
    <w:rsid w:val="00E4768E"/>
    <w:rsid w:val="00E47BA7"/>
    <w:rsid w:val="00E57D1A"/>
    <w:rsid w:val="00E60E78"/>
    <w:rsid w:val="00E65B45"/>
    <w:rsid w:val="00E669EF"/>
    <w:rsid w:val="00E67800"/>
    <w:rsid w:val="00E71D31"/>
    <w:rsid w:val="00E72BA8"/>
    <w:rsid w:val="00E804FF"/>
    <w:rsid w:val="00E83CCD"/>
    <w:rsid w:val="00E847E6"/>
    <w:rsid w:val="00E90FB8"/>
    <w:rsid w:val="00E938B3"/>
    <w:rsid w:val="00E9495C"/>
    <w:rsid w:val="00EA47AD"/>
    <w:rsid w:val="00EB06C5"/>
    <w:rsid w:val="00EB26B3"/>
    <w:rsid w:val="00EB4375"/>
    <w:rsid w:val="00EB5B94"/>
    <w:rsid w:val="00EC046B"/>
    <w:rsid w:val="00EC75DD"/>
    <w:rsid w:val="00ED4C36"/>
    <w:rsid w:val="00EE520F"/>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1061"/>
    <w:rsid w:val="00F64A9E"/>
    <w:rsid w:val="00F655E3"/>
    <w:rsid w:val="00F739AD"/>
    <w:rsid w:val="00F76B0E"/>
    <w:rsid w:val="00F8482C"/>
    <w:rsid w:val="00F84DCA"/>
    <w:rsid w:val="00F95B39"/>
    <w:rsid w:val="00FA0F28"/>
    <w:rsid w:val="00FA1AF3"/>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79200268">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C30EA-7412-45A6-9E85-FCA7C5EE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Pages>
  <Words>931</Words>
  <Characters>5495</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14</cp:revision>
  <dcterms:created xsi:type="dcterms:W3CDTF">2021-11-15T19:09:00Z</dcterms:created>
  <dcterms:modified xsi:type="dcterms:W3CDTF">2021-11-19T12:22:00Z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