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554D18"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31A9011E" w14:textId="45944FB8" w:rsidR="006166CE" w:rsidRPr="00F250B8" w:rsidRDefault="00FB53F1" w:rsidP="00B67AF0">
      <w:pPr>
        <w:rPr>
          <w:rFonts w:ascii="Arial" w:hAnsi="Arial" w:cs="Arial"/>
          <w:b/>
          <w:sz w:val="28"/>
          <w:szCs w:val="28"/>
        </w:rPr>
      </w:pPr>
      <w:r w:rsidRPr="00E31346">
        <w:rPr>
          <w:rFonts w:ascii="Arial" w:hAnsi="Arial" w:cs="Arial"/>
          <w:b/>
          <w:color w:val="FF0000"/>
          <w:sz w:val="28"/>
          <w:szCs w:val="28"/>
        </w:rPr>
        <w:t xml:space="preserve"> </w:t>
      </w:r>
    </w:p>
    <w:p w14:paraId="541E060F" w14:textId="77777777" w:rsidR="00724267" w:rsidRDefault="00724267" w:rsidP="00772FF0">
      <w:pPr>
        <w:jc w:val="center"/>
        <w:rPr>
          <w:rFonts w:ascii="Arial" w:hAnsi="Arial" w:cs="Arial"/>
          <w:b/>
          <w:sz w:val="26"/>
          <w:szCs w:val="26"/>
        </w:rPr>
      </w:pPr>
    </w:p>
    <w:p w14:paraId="0C1693C1" w14:textId="45EA99E0" w:rsidR="00772FF0" w:rsidRPr="006859AC" w:rsidRDefault="00D4052C" w:rsidP="00772FF0">
      <w:pPr>
        <w:jc w:val="center"/>
        <w:rPr>
          <w:rFonts w:ascii="Arial" w:hAnsi="Arial" w:cs="Arial"/>
          <w:b/>
          <w:sz w:val="26"/>
          <w:szCs w:val="26"/>
        </w:rPr>
      </w:pPr>
      <w:r w:rsidRPr="006859AC">
        <w:rPr>
          <w:rFonts w:ascii="Arial" w:hAnsi="Arial" w:cs="Arial"/>
          <w:b/>
          <w:sz w:val="26"/>
          <w:szCs w:val="26"/>
        </w:rPr>
        <w:t xml:space="preserve">Spotřebitelské úvěry </w:t>
      </w:r>
      <w:r w:rsidR="006859AC" w:rsidRPr="006859AC">
        <w:rPr>
          <w:rFonts w:ascii="Arial" w:hAnsi="Arial" w:cs="Arial"/>
          <w:b/>
          <w:sz w:val="26"/>
          <w:szCs w:val="26"/>
        </w:rPr>
        <w:t xml:space="preserve">podražily, průměrná úroková sazba se v září zvedla na 6,31 % </w:t>
      </w:r>
    </w:p>
    <w:p w14:paraId="78DB7A4B" w14:textId="77777777" w:rsidR="00123939" w:rsidRPr="00E11439" w:rsidRDefault="00123939" w:rsidP="00772FF0">
      <w:pPr>
        <w:jc w:val="center"/>
        <w:rPr>
          <w:rFonts w:ascii="Arial" w:hAnsi="Arial" w:cs="Arial"/>
          <w:bCs/>
          <w:i/>
          <w:sz w:val="20"/>
          <w:szCs w:val="20"/>
        </w:rPr>
      </w:pPr>
    </w:p>
    <w:p w14:paraId="74177DF2" w14:textId="77777777" w:rsidR="006859AC" w:rsidRDefault="006859AC" w:rsidP="0056501A">
      <w:pPr>
        <w:jc w:val="both"/>
        <w:rPr>
          <w:rFonts w:ascii="Arial" w:hAnsi="Arial" w:cs="Arial"/>
          <w:bCs/>
          <w:i/>
          <w:sz w:val="20"/>
          <w:szCs w:val="20"/>
        </w:rPr>
      </w:pPr>
    </w:p>
    <w:p w14:paraId="395F0CE2" w14:textId="3F2FD51D" w:rsidR="006859AC" w:rsidRPr="00EB716B" w:rsidRDefault="00FA1C73" w:rsidP="00FE3038">
      <w:pPr>
        <w:jc w:val="both"/>
        <w:rPr>
          <w:rFonts w:ascii="Arial" w:hAnsi="Arial" w:cs="Arial"/>
          <w:b/>
          <w:bCs/>
          <w:color w:val="FF0000"/>
          <w:sz w:val="20"/>
          <w:szCs w:val="20"/>
        </w:rPr>
      </w:pPr>
      <w:r w:rsidRPr="00E11439">
        <w:rPr>
          <w:rFonts w:ascii="Arial" w:hAnsi="Arial" w:cs="Arial"/>
          <w:bCs/>
          <w:i/>
          <w:sz w:val="20"/>
          <w:szCs w:val="20"/>
        </w:rPr>
        <w:t xml:space="preserve">Praha, </w:t>
      </w:r>
      <w:r w:rsidR="008C2254">
        <w:rPr>
          <w:rFonts w:ascii="Arial" w:hAnsi="Arial" w:cs="Arial"/>
          <w:bCs/>
          <w:i/>
          <w:sz w:val="20"/>
          <w:szCs w:val="20"/>
        </w:rPr>
        <w:t>1</w:t>
      </w:r>
      <w:r w:rsidR="001F25C4" w:rsidRPr="00E11439">
        <w:rPr>
          <w:rFonts w:ascii="Arial" w:hAnsi="Arial" w:cs="Arial"/>
          <w:bCs/>
          <w:i/>
          <w:sz w:val="20"/>
          <w:szCs w:val="20"/>
        </w:rPr>
        <w:t xml:space="preserve">. </w:t>
      </w:r>
      <w:r w:rsidR="008C2254">
        <w:rPr>
          <w:rFonts w:ascii="Arial" w:hAnsi="Arial" w:cs="Arial"/>
          <w:bCs/>
          <w:i/>
          <w:sz w:val="20"/>
          <w:szCs w:val="20"/>
        </w:rPr>
        <w:t>listopadu</w:t>
      </w:r>
      <w:r w:rsidRPr="00E11439">
        <w:rPr>
          <w:rFonts w:ascii="Arial" w:hAnsi="Arial" w:cs="Arial"/>
          <w:bCs/>
          <w:i/>
          <w:sz w:val="20"/>
          <w:szCs w:val="20"/>
        </w:rPr>
        <w:t xml:space="preserve"> 2021</w:t>
      </w:r>
      <w:r w:rsidR="00AA6E6D" w:rsidRPr="00EB716B">
        <w:rPr>
          <w:rFonts w:ascii="Arial" w:hAnsi="Arial" w:cs="Arial"/>
          <w:bCs/>
          <w:sz w:val="20"/>
          <w:szCs w:val="20"/>
        </w:rPr>
        <w:t xml:space="preserve"> –</w:t>
      </w:r>
      <w:r w:rsidR="00AA6E6D" w:rsidRPr="00EB716B">
        <w:rPr>
          <w:rFonts w:ascii="Arial" w:hAnsi="Arial" w:cs="Arial"/>
          <w:b/>
          <w:bCs/>
          <w:sz w:val="20"/>
          <w:szCs w:val="20"/>
        </w:rPr>
        <w:t xml:space="preserve"> </w:t>
      </w:r>
      <w:r w:rsidR="00FC23FE" w:rsidRPr="00EB716B">
        <w:rPr>
          <w:rFonts w:ascii="Arial" w:eastAsia="Times New Roman" w:hAnsi="Arial" w:cs="Arial"/>
          <w:b/>
          <w:sz w:val="20"/>
          <w:szCs w:val="20"/>
        </w:rPr>
        <w:t xml:space="preserve">Hodnota </w:t>
      </w:r>
      <w:r w:rsidR="006859AC" w:rsidRPr="00EB716B">
        <w:rPr>
          <w:rFonts w:ascii="Arial" w:eastAsia="Times New Roman" w:hAnsi="Arial" w:cs="Arial"/>
          <w:b/>
          <w:sz w:val="20"/>
          <w:szCs w:val="20"/>
        </w:rPr>
        <w:t>Broker Consulting Index</w:t>
      </w:r>
      <w:r w:rsidR="00FC23FE" w:rsidRPr="00EB716B">
        <w:rPr>
          <w:rFonts w:ascii="Arial" w:eastAsia="Times New Roman" w:hAnsi="Arial" w:cs="Arial"/>
          <w:b/>
          <w:sz w:val="20"/>
          <w:szCs w:val="20"/>
        </w:rPr>
        <w:t>u</w:t>
      </w:r>
      <w:r w:rsidR="006859AC" w:rsidRPr="00EB716B">
        <w:rPr>
          <w:rFonts w:ascii="Arial" w:eastAsia="Times New Roman" w:hAnsi="Arial" w:cs="Arial"/>
          <w:b/>
          <w:sz w:val="20"/>
          <w:szCs w:val="20"/>
        </w:rPr>
        <w:t xml:space="preserve"> spotřebitelských úvěrů </w:t>
      </w:r>
      <w:r w:rsidR="00FC23FE" w:rsidRPr="00EB716B">
        <w:rPr>
          <w:rFonts w:ascii="Arial" w:eastAsia="Times New Roman" w:hAnsi="Arial" w:cs="Arial"/>
          <w:b/>
          <w:sz w:val="20"/>
          <w:szCs w:val="20"/>
        </w:rPr>
        <w:t xml:space="preserve">v září vzrostla o </w:t>
      </w:r>
      <w:r w:rsidR="006859AC" w:rsidRPr="00EB716B">
        <w:rPr>
          <w:rFonts w:ascii="Arial" w:eastAsia="Times New Roman" w:hAnsi="Arial" w:cs="Arial"/>
          <w:b/>
          <w:sz w:val="20"/>
          <w:szCs w:val="20"/>
        </w:rPr>
        <w:t>0,46 procentního bodu</w:t>
      </w:r>
      <w:r w:rsidR="00FC23FE" w:rsidRPr="00EB716B">
        <w:rPr>
          <w:rFonts w:ascii="Arial" w:eastAsia="Times New Roman" w:hAnsi="Arial" w:cs="Arial"/>
          <w:b/>
          <w:sz w:val="20"/>
          <w:szCs w:val="20"/>
        </w:rPr>
        <w:t xml:space="preserve"> na 6,31 %. S dalším zvýšením, a tudíž i zdražením úvěrů na cokoli</w:t>
      </w:r>
      <w:r w:rsidR="00E26CF0">
        <w:rPr>
          <w:rFonts w:ascii="Arial" w:eastAsia="Times New Roman" w:hAnsi="Arial" w:cs="Arial"/>
          <w:b/>
          <w:sz w:val="20"/>
          <w:szCs w:val="20"/>
        </w:rPr>
        <w:t>,</w:t>
      </w:r>
      <w:r w:rsidR="00FC23FE" w:rsidRPr="00EB716B">
        <w:rPr>
          <w:rFonts w:ascii="Arial" w:eastAsia="Times New Roman" w:hAnsi="Arial" w:cs="Arial"/>
          <w:b/>
          <w:sz w:val="20"/>
          <w:szCs w:val="20"/>
        </w:rPr>
        <w:t xml:space="preserve"> je podle odborníků třeba počítat i v dalších měsících, a to v důsledku zvyšování základních sazeb ČNB. R</w:t>
      </w:r>
      <w:r w:rsidR="00EB716B" w:rsidRPr="00EB716B">
        <w:rPr>
          <w:rFonts w:ascii="Arial" w:eastAsia="Times New Roman" w:hAnsi="Arial" w:cs="Arial"/>
          <w:b/>
          <w:sz w:val="20"/>
          <w:szCs w:val="20"/>
        </w:rPr>
        <w:t>ůst úrokových sazeb však v tomto případě nebude tak dramatický jako u hypotečních úvěrů.</w:t>
      </w:r>
      <w:r w:rsidR="00EB716B">
        <w:rPr>
          <w:rFonts w:ascii="Arial" w:eastAsia="Times New Roman" w:hAnsi="Arial" w:cs="Arial"/>
          <w:b/>
          <w:sz w:val="20"/>
          <w:szCs w:val="20"/>
        </w:rPr>
        <w:t xml:space="preserve"> S blížícím se obdobím vánočních nákupů je také více než kdy ji</w:t>
      </w:r>
      <w:r w:rsidR="00C427DA">
        <w:rPr>
          <w:rFonts w:ascii="Arial" w:eastAsia="Times New Roman" w:hAnsi="Arial" w:cs="Arial"/>
          <w:b/>
          <w:sz w:val="20"/>
          <w:szCs w:val="20"/>
        </w:rPr>
        <w:t>ndy důležité z</w:t>
      </w:r>
      <w:r w:rsidR="00EB716B">
        <w:rPr>
          <w:rFonts w:ascii="Arial" w:eastAsia="Times New Roman" w:hAnsi="Arial" w:cs="Arial"/>
          <w:b/>
          <w:sz w:val="20"/>
          <w:szCs w:val="20"/>
        </w:rPr>
        <w:t>vážit nutnost sjednání spotřebitelského úvěru.</w:t>
      </w:r>
    </w:p>
    <w:p w14:paraId="7875837E" w14:textId="06B7B225" w:rsidR="00EB716B" w:rsidRPr="006859AC" w:rsidRDefault="00EB716B" w:rsidP="00FE3038">
      <w:pPr>
        <w:jc w:val="both"/>
        <w:rPr>
          <w:rFonts w:ascii="Arial" w:eastAsia="Times New Roman" w:hAnsi="Arial" w:cs="Arial"/>
          <w:sz w:val="20"/>
          <w:szCs w:val="20"/>
        </w:rPr>
      </w:pPr>
    </w:p>
    <w:p w14:paraId="096A4F70" w14:textId="2B7F23D4" w:rsidR="00E26CF0" w:rsidRDefault="00E26CF0" w:rsidP="00FE3038">
      <w:pPr>
        <w:jc w:val="both"/>
        <w:rPr>
          <w:rFonts w:ascii="Arial" w:eastAsia="Times New Roman" w:hAnsi="Arial" w:cs="Arial"/>
          <w:sz w:val="20"/>
          <w:szCs w:val="20"/>
        </w:rPr>
      </w:pPr>
      <w:r>
        <w:rPr>
          <w:rFonts w:ascii="Arial" w:eastAsia="Times New Roman" w:hAnsi="Arial" w:cs="Arial"/>
          <w:sz w:val="20"/>
          <w:szCs w:val="20"/>
        </w:rPr>
        <w:t>Po srpnovém poklesu se úrokové sazby u spo</w:t>
      </w:r>
      <w:r w:rsidR="00DF020C" w:rsidRPr="00DF020C">
        <w:rPr>
          <w:rFonts w:ascii="Arial" w:eastAsia="Times New Roman" w:hAnsi="Arial" w:cs="Arial"/>
          <w:sz w:val="20"/>
          <w:szCs w:val="20"/>
        </w:rPr>
        <w:t xml:space="preserve">třebitelských úvěrů opět </w:t>
      </w:r>
      <w:r>
        <w:rPr>
          <w:rFonts w:ascii="Arial" w:eastAsia="Times New Roman" w:hAnsi="Arial" w:cs="Arial"/>
          <w:sz w:val="20"/>
          <w:szCs w:val="20"/>
        </w:rPr>
        <w:t xml:space="preserve">zvedají, jak ukázaly výsledky zářijového Broker Consulting Indexu spotřebitelských úvěrů. Jeho hodnota meziměsíčně poskočila z 5,77 % na 6,31 % a směr </w:t>
      </w:r>
      <w:r w:rsidR="00FE3038">
        <w:rPr>
          <w:rFonts w:ascii="Arial" w:eastAsia="Times New Roman" w:hAnsi="Arial" w:cs="Arial"/>
          <w:sz w:val="20"/>
          <w:szCs w:val="20"/>
        </w:rPr>
        <w:t>vzhůru</w:t>
      </w:r>
      <w:r>
        <w:rPr>
          <w:rFonts w:ascii="Arial" w:eastAsia="Times New Roman" w:hAnsi="Arial" w:cs="Arial"/>
          <w:sz w:val="20"/>
          <w:szCs w:val="20"/>
        </w:rPr>
        <w:t xml:space="preserve"> si s nejvyšší pravděpodobností udrží i v následujícím období.  </w:t>
      </w:r>
    </w:p>
    <w:p w14:paraId="290A3844" w14:textId="77777777" w:rsidR="00E26CF0" w:rsidRDefault="00E26CF0" w:rsidP="00FE3038">
      <w:pPr>
        <w:jc w:val="both"/>
        <w:rPr>
          <w:rFonts w:ascii="Arial" w:eastAsia="Times New Roman" w:hAnsi="Arial" w:cs="Arial"/>
          <w:sz w:val="20"/>
          <w:szCs w:val="20"/>
        </w:rPr>
      </w:pPr>
    </w:p>
    <w:p w14:paraId="655E2E5E" w14:textId="2796DEBE" w:rsidR="00DF020C" w:rsidRPr="00DF020C" w:rsidRDefault="00E26CF0" w:rsidP="00FE3038">
      <w:pPr>
        <w:jc w:val="both"/>
        <w:rPr>
          <w:rFonts w:ascii="Arial" w:eastAsia="Times New Roman" w:hAnsi="Arial" w:cs="Arial"/>
          <w:sz w:val="20"/>
          <w:szCs w:val="20"/>
        </w:rPr>
      </w:pPr>
      <w:r w:rsidRPr="00E26CF0">
        <w:rPr>
          <w:rFonts w:ascii="Arial" w:eastAsia="Times New Roman" w:hAnsi="Arial" w:cs="Arial"/>
          <w:i/>
          <w:sz w:val="20"/>
          <w:szCs w:val="20"/>
        </w:rPr>
        <w:t>„</w:t>
      </w:r>
      <w:r w:rsidR="00724267">
        <w:rPr>
          <w:rFonts w:ascii="Arial" w:eastAsia="Times New Roman" w:hAnsi="Arial" w:cs="Arial"/>
          <w:i/>
          <w:sz w:val="20"/>
          <w:szCs w:val="20"/>
        </w:rPr>
        <w:t>S ohledem na</w:t>
      </w:r>
      <w:r w:rsidR="00DF020C" w:rsidRPr="00E26CF0">
        <w:rPr>
          <w:rFonts w:ascii="Arial" w:eastAsia="Times New Roman" w:hAnsi="Arial" w:cs="Arial"/>
          <w:i/>
          <w:sz w:val="20"/>
          <w:szCs w:val="20"/>
        </w:rPr>
        <w:t> </w:t>
      </w:r>
      <w:r w:rsidR="00724267">
        <w:rPr>
          <w:rFonts w:ascii="Arial" w:eastAsia="Times New Roman" w:hAnsi="Arial" w:cs="Arial"/>
          <w:i/>
          <w:sz w:val="20"/>
          <w:szCs w:val="20"/>
        </w:rPr>
        <w:t>pokračující</w:t>
      </w:r>
      <w:r w:rsidR="00DF020C" w:rsidRPr="00E26CF0">
        <w:rPr>
          <w:rFonts w:ascii="Arial" w:eastAsia="Times New Roman" w:hAnsi="Arial" w:cs="Arial"/>
          <w:i/>
          <w:sz w:val="20"/>
          <w:szCs w:val="20"/>
        </w:rPr>
        <w:t xml:space="preserve"> zvyšování úrokových sazeb ze strany Č</w:t>
      </w:r>
      <w:r w:rsidR="00EB716B" w:rsidRPr="00E26CF0">
        <w:rPr>
          <w:rFonts w:ascii="Arial" w:eastAsia="Times New Roman" w:hAnsi="Arial" w:cs="Arial"/>
          <w:i/>
          <w:sz w:val="20"/>
          <w:szCs w:val="20"/>
        </w:rPr>
        <w:t>eské národní banky</w:t>
      </w:r>
      <w:r w:rsidR="00DF020C" w:rsidRPr="00E26CF0">
        <w:rPr>
          <w:rFonts w:ascii="Arial" w:eastAsia="Times New Roman" w:hAnsi="Arial" w:cs="Arial"/>
          <w:i/>
          <w:sz w:val="20"/>
          <w:szCs w:val="20"/>
        </w:rPr>
        <w:t xml:space="preserve"> předpokládám</w:t>
      </w:r>
      <w:r>
        <w:rPr>
          <w:rFonts w:ascii="Arial" w:eastAsia="Times New Roman" w:hAnsi="Arial" w:cs="Arial"/>
          <w:i/>
          <w:sz w:val="20"/>
          <w:szCs w:val="20"/>
        </w:rPr>
        <w:t xml:space="preserve">, že </w:t>
      </w:r>
      <w:r w:rsidR="00DF020C" w:rsidRPr="00E26CF0">
        <w:rPr>
          <w:rFonts w:ascii="Arial" w:eastAsia="Times New Roman" w:hAnsi="Arial" w:cs="Arial"/>
          <w:i/>
          <w:sz w:val="20"/>
          <w:szCs w:val="20"/>
        </w:rPr>
        <w:t>v dalších měsících se bude průměrná úroková sazba</w:t>
      </w:r>
      <w:r>
        <w:rPr>
          <w:rFonts w:ascii="Arial" w:eastAsia="Times New Roman" w:hAnsi="Arial" w:cs="Arial"/>
          <w:i/>
          <w:sz w:val="20"/>
          <w:szCs w:val="20"/>
        </w:rPr>
        <w:t xml:space="preserve"> dál</w:t>
      </w:r>
      <w:r w:rsidR="00DF020C" w:rsidRPr="00E26CF0">
        <w:rPr>
          <w:rFonts w:ascii="Arial" w:eastAsia="Times New Roman" w:hAnsi="Arial" w:cs="Arial"/>
          <w:i/>
          <w:sz w:val="20"/>
          <w:szCs w:val="20"/>
        </w:rPr>
        <w:t xml:space="preserve"> mírně zvyšovat i u spotřebitelských úvěrů. Neočekávám ale</w:t>
      </w:r>
      <w:r>
        <w:rPr>
          <w:rFonts w:ascii="Arial" w:eastAsia="Times New Roman" w:hAnsi="Arial" w:cs="Arial"/>
          <w:i/>
          <w:sz w:val="20"/>
          <w:szCs w:val="20"/>
        </w:rPr>
        <w:t xml:space="preserve"> tak prudký nárůst</w:t>
      </w:r>
      <w:r w:rsidR="00EB716B" w:rsidRPr="00E26CF0">
        <w:rPr>
          <w:rFonts w:ascii="Arial" w:eastAsia="Times New Roman" w:hAnsi="Arial" w:cs="Arial"/>
          <w:i/>
          <w:sz w:val="20"/>
          <w:szCs w:val="20"/>
        </w:rPr>
        <w:t xml:space="preserve"> jako u hypotečních úvěrů</w:t>
      </w:r>
      <w:r w:rsidR="00DF020C" w:rsidRPr="00E26CF0">
        <w:rPr>
          <w:rFonts w:ascii="Arial" w:eastAsia="Times New Roman" w:hAnsi="Arial" w:cs="Arial"/>
          <w:i/>
          <w:sz w:val="20"/>
          <w:szCs w:val="20"/>
        </w:rPr>
        <w:t xml:space="preserve">. U spotřebitelských úvěrů je úroková </w:t>
      </w:r>
      <w:bookmarkStart w:id="0" w:name="_GoBack"/>
      <w:bookmarkEnd w:id="0"/>
      <w:r w:rsidR="00DF020C" w:rsidRPr="00E26CF0">
        <w:rPr>
          <w:rFonts w:ascii="Arial" w:eastAsia="Times New Roman" w:hAnsi="Arial" w:cs="Arial"/>
          <w:i/>
          <w:sz w:val="20"/>
          <w:szCs w:val="20"/>
        </w:rPr>
        <w:t>sazba sice důležitá, ale změna ve splátce není tak značná jako u hypotéky</w:t>
      </w:r>
      <w:r w:rsidR="00EB716B" w:rsidRPr="00E26CF0">
        <w:rPr>
          <w:rFonts w:ascii="Arial" w:eastAsia="Times New Roman" w:hAnsi="Arial" w:cs="Arial"/>
          <w:i/>
          <w:sz w:val="20"/>
          <w:szCs w:val="20"/>
        </w:rPr>
        <w:t xml:space="preserve">, což je </w:t>
      </w:r>
      <w:r w:rsidR="00DF020C" w:rsidRPr="00E26CF0">
        <w:rPr>
          <w:rFonts w:ascii="Arial" w:eastAsia="Times New Roman" w:hAnsi="Arial" w:cs="Arial"/>
          <w:i/>
          <w:sz w:val="20"/>
          <w:szCs w:val="20"/>
        </w:rPr>
        <w:t xml:space="preserve">dáno krátkou dobou splatnosti. Například zvýšení úrokové sazby o </w:t>
      </w:r>
      <w:r w:rsidR="00EB716B" w:rsidRPr="00E26CF0">
        <w:rPr>
          <w:rFonts w:ascii="Arial" w:eastAsia="Times New Roman" w:hAnsi="Arial" w:cs="Arial"/>
          <w:i/>
          <w:sz w:val="20"/>
          <w:szCs w:val="20"/>
        </w:rPr>
        <w:t>jeden</w:t>
      </w:r>
      <w:r w:rsidR="00DF020C" w:rsidRPr="00E26CF0">
        <w:rPr>
          <w:rFonts w:ascii="Arial" w:eastAsia="Times New Roman" w:hAnsi="Arial" w:cs="Arial"/>
          <w:i/>
          <w:sz w:val="20"/>
          <w:szCs w:val="20"/>
        </w:rPr>
        <w:t xml:space="preserve"> procentní bod při úvěru na 300 </w:t>
      </w:r>
      <w:r w:rsidR="00724267">
        <w:rPr>
          <w:rFonts w:ascii="Arial" w:eastAsia="Times New Roman" w:hAnsi="Arial" w:cs="Arial"/>
          <w:i/>
          <w:sz w:val="20"/>
          <w:szCs w:val="20"/>
        </w:rPr>
        <w:t>tisíc</w:t>
      </w:r>
      <w:r w:rsidR="00DF020C" w:rsidRPr="00E26CF0">
        <w:rPr>
          <w:rFonts w:ascii="Arial" w:eastAsia="Times New Roman" w:hAnsi="Arial" w:cs="Arial"/>
          <w:i/>
          <w:sz w:val="20"/>
          <w:szCs w:val="20"/>
        </w:rPr>
        <w:t xml:space="preserve"> korun se splatností na 10 let znamená zvýšení splátky "jen" o 150 korun, o </w:t>
      </w:r>
      <w:r w:rsidR="00724267">
        <w:rPr>
          <w:rFonts w:ascii="Arial" w:eastAsia="Times New Roman" w:hAnsi="Arial" w:cs="Arial"/>
          <w:i/>
          <w:sz w:val="20"/>
          <w:szCs w:val="20"/>
        </w:rPr>
        <w:t>dva</w:t>
      </w:r>
      <w:r w:rsidR="00DF020C" w:rsidRPr="00E26CF0">
        <w:rPr>
          <w:rFonts w:ascii="Arial" w:eastAsia="Times New Roman" w:hAnsi="Arial" w:cs="Arial"/>
          <w:i/>
          <w:sz w:val="20"/>
          <w:szCs w:val="20"/>
        </w:rPr>
        <w:t xml:space="preserve"> procentní body pak 300 korun. Taková částka sice není zanedbatelná, ale o dramatickém zvýšení</w:t>
      </w:r>
      <w:r w:rsidR="00724267">
        <w:rPr>
          <w:rFonts w:ascii="Arial" w:eastAsia="Times New Roman" w:hAnsi="Arial" w:cs="Arial"/>
          <w:i/>
          <w:sz w:val="20"/>
          <w:szCs w:val="20"/>
        </w:rPr>
        <w:t xml:space="preserve"> ještě</w:t>
      </w:r>
      <w:r w:rsidRPr="00E26CF0">
        <w:rPr>
          <w:rFonts w:ascii="Arial" w:eastAsia="Times New Roman" w:hAnsi="Arial" w:cs="Arial"/>
          <w:i/>
          <w:sz w:val="20"/>
          <w:szCs w:val="20"/>
        </w:rPr>
        <w:t xml:space="preserve"> hovořit nelze,“</w:t>
      </w:r>
      <w:r>
        <w:rPr>
          <w:rFonts w:ascii="Arial" w:eastAsia="Times New Roman" w:hAnsi="Arial" w:cs="Arial"/>
          <w:sz w:val="20"/>
          <w:szCs w:val="20"/>
        </w:rPr>
        <w:t xml:space="preserve"> </w:t>
      </w:r>
      <w:r w:rsidR="00724267">
        <w:rPr>
          <w:rFonts w:ascii="Arial" w:eastAsia="Times New Roman" w:hAnsi="Arial" w:cs="Arial"/>
          <w:sz w:val="20"/>
          <w:szCs w:val="20"/>
        </w:rPr>
        <w:t xml:space="preserve">vysvětluje </w:t>
      </w:r>
      <w:r w:rsidRPr="00E26CF0">
        <w:rPr>
          <w:rFonts w:ascii="Arial" w:eastAsia="Times New Roman" w:hAnsi="Arial" w:cs="Arial"/>
          <w:b/>
          <w:sz w:val="20"/>
          <w:szCs w:val="20"/>
        </w:rPr>
        <w:t>Martin Novák, hlavní analytik společnosti Broker Consulting.</w:t>
      </w:r>
      <w:r w:rsidR="00DF020C" w:rsidRPr="00E26CF0">
        <w:rPr>
          <w:rFonts w:ascii="Arial" w:eastAsia="Times New Roman" w:hAnsi="Arial" w:cs="Arial"/>
          <w:b/>
          <w:sz w:val="20"/>
          <w:szCs w:val="20"/>
        </w:rPr>
        <w:t xml:space="preserve"> </w:t>
      </w:r>
    </w:p>
    <w:p w14:paraId="6925CB00" w14:textId="77777777" w:rsidR="00DF020C" w:rsidRPr="00DF020C" w:rsidRDefault="00DF020C" w:rsidP="00FE3038">
      <w:pPr>
        <w:jc w:val="both"/>
        <w:rPr>
          <w:rFonts w:ascii="Arial" w:eastAsia="Times New Roman" w:hAnsi="Arial" w:cs="Arial"/>
          <w:sz w:val="20"/>
          <w:szCs w:val="20"/>
        </w:rPr>
      </w:pPr>
    </w:p>
    <w:p w14:paraId="69E9ACB1" w14:textId="51680901" w:rsidR="00DF020C" w:rsidRPr="00DF020C" w:rsidRDefault="00C427DA" w:rsidP="00FE3038">
      <w:pPr>
        <w:jc w:val="both"/>
        <w:rPr>
          <w:rFonts w:ascii="Arial" w:eastAsia="Times New Roman" w:hAnsi="Arial" w:cs="Arial"/>
          <w:sz w:val="20"/>
          <w:szCs w:val="20"/>
        </w:rPr>
      </w:pPr>
      <w:r>
        <w:rPr>
          <w:rFonts w:ascii="Arial" w:eastAsia="Times New Roman" w:hAnsi="Arial" w:cs="Arial"/>
          <w:sz w:val="20"/>
          <w:szCs w:val="20"/>
        </w:rPr>
        <w:t>Z pohledu pořizování úvěrů je na obzoru n</w:t>
      </w:r>
      <w:r w:rsidR="00DF020C" w:rsidRPr="00DF020C">
        <w:rPr>
          <w:rFonts w:ascii="Arial" w:eastAsia="Times New Roman" w:hAnsi="Arial" w:cs="Arial"/>
          <w:sz w:val="20"/>
          <w:szCs w:val="20"/>
        </w:rPr>
        <w:t>ejsilnější obchodní část roku spojen</w:t>
      </w:r>
      <w:r w:rsidR="00724267">
        <w:rPr>
          <w:rFonts w:ascii="Arial" w:eastAsia="Times New Roman" w:hAnsi="Arial" w:cs="Arial"/>
          <w:sz w:val="20"/>
          <w:szCs w:val="20"/>
        </w:rPr>
        <w:t>á</w:t>
      </w:r>
      <w:r w:rsidR="00DF020C" w:rsidRPr="00DF020C">
        <w:rPr>
          <w:rFonts w:ascii="Arial" w:eastAsia="Times New Roman" w:hAnsi="Arial" w:cs="Arial"/>
          <w:sz w:val="20"/>
          <w:szCs w:val="20"/>
        </w:rPr>
        <w:t xml:space="preserve"> s vánočními svátky. Před </w:t>
      </w:r>
      <w:r w:rsidR="00724267">
        <w:rPr>
          <w:rFonts w:ascii="Arial" w:eastAsia="Times New Roman" w:hAnsi="Arial" w:cs="Arial"/>
          <w:sz w:val="20"/>
          <w:szCs w:val="20"/>
        </w:rPr>
        <w:t xml:space="preserve">závěrem </w:t>
      </w:r>
      <w:r w:rsidR="00DF020C" w:rsidRPr="00DF020C">
        <w:rPr>
          <w:rFonts w:ascii="Arial" w:eastAsia="Times New Roman" w:hAnsi="Arial" w:cs="Arial"/>
          <w:sz w:val="20"/>
          <w:szCs w:val="20"/>
        </w:rPr>
        <w:t xml:space="preserve">roku </w:t>
      </w:r>
      <w:r w:rsidR="00724267">
        <w:rPr>
          <w:rFonts w:ascii="Arial" w:eastAsia="Times New Roman" w:hAnsi="Arial" w:cs="Arial"/>
          <w:sz w:val="20"/>
          <w:szCs w:val="20"/>
        </w:rPr>
        <w:t xml:space="preserve">je </w:t>
      </w:r>
      <w:r w:rsidR="00FE3038">
        <w:rPr>
          <w:rFonts w:ascii="Arial" w:eastAsia="Times New Roman" w:hAnsi="Arial" w:cs="Arial"/>
          <w:sz w:val="20"/>
          <w:szCs w:val="20"/>
        </w:rPr>
        <w:t xml:space="preserve">tak </w:t>
      </w:r>
      <w:r w:rsidR="00724267">
        <w:rPr>
          <w:rFonts w:ascii="Arial" w:eastAsia="Times New Roman" w:hAnsi="Arial" w:cs="Arial"/>
          <w:sz w:val="20"/>
          <w:szCs w:val="20"/>
        </w:rPr>
        <w:t>namístě</w:t>
      </w:r>
      <w:r w:rsidR="00DF020C" w:rsidRPr="00DF020C">
        <w:rPr>
          <w:rFonts w:ascii="Arial" w:eastAsia="Times New Roman" w:hAnsi="Arial" w:cs="Arial"/>
          <w:sz w:val="20"/>
          <w:szCs w:val="20"/>
        </w:rPr>
        <w:t xml:space="preserve"> apelovat na spotřebitele, aby </w:t>
      </w:r>
      <w:r>
        <w:rPr>
          <w:rFonts w:ascii="Arial" w:eastAsia="Times New Roman" w:hAnsi="Arial" w:cs="Arial"/>
          <w:sz w:val="20"/>
          <w:szCs w:val="20"/>
        </w:rPr>
        <w:t xml:space="preserve">ještě </w:t>
      </w:r>
      <w:r w:rsidR="00FE3038">
        <w:rPr>
          <w:rFonts w:ascii="Arial" w:eastAsia="Times New Roman" w:hAnsi="Arial" w:cs="Arial"/>
          <w:sz w:val="20"/>
          <w:szCs w:val="20"/>
        </w:rPr>
        <w:t>důkladněji</w:t>
      </w:r>
      <w:r w:rsidR="00DF020C" w:rsidRPr="00DF020C">
        <w:rPr>
          <w:rFonts w:ascii="Arial" w:eastAsia="Times New Roman" w:hAnsi="Arial" w:cs="Arial"/>
          <w:sz w:val="20"/>
          <w:szCs w:val="20"/>
        </w:rPr>
        <w:t xml:space="preserve"> zvážili, zda je opravdu nezbytné vzít si spotřebitelský úvěr</w:t>
      </w:r>
      <w:r w:rsidR="00DF020C" w:rsidRPr="00724267">
        <w:rPr>
          <w:rFonts w:ascii="Arial" w:eastAsia="Times New Roman" w:hAnsi="Arial" w:cs="Arial"/>
          <w:i/>
          <w:sz w:val="20"/>
          <w:szCs w:val="20"/>
        </w:rPr>
        <w:t xml:space="preserve">. </w:t>
      </w:r>
      <w:r w:rsidR="00724267" w:rsidRPr="00724267">
        <w:rPr>
          <w:rFonts w:ascii="Arial" w:eastAsia="Times New Roman" w:hAnsi="Arial" w:cs="Arial"/>
          <w:i/>
          <w:sz w:val="20"/>
          <w:szCs w:val="20"/>
        </w:rPr>
        <w:t>„</w:t>
      </w:r>
      <w:r w:rsidR="00FE3038">
        <w:rPr>
          <w:rFonts w:ascii="Arial" w:eastAsia="Times New Roman" w:hAnsi="Arial" w:cs="Arial"/>
          <w:i/>
          <w:sz w:val="20"/>
          <w:szCs w:val="20"/>
        </w:rPr>
        <w:t>Řešit nákup</w:t>
      </w:r>
      <w:r w:rsidR="00DF020C" w:rsidRPr="00724267">
        <w:rPr>
          <w:rFonts w:ascii="Arial" w:eastAsia="Times New Roman" w:hAnsi="Arial" w:cs="Arial"/>
          <w:i/>
          <w:sz w:val="20"/>
          <w:szCs w:val="20"/>
        </w:rPr>
        <w:t xml:space="preserve"> vánočních dárků </w:t>
      </w:r>
      <w:r w:rsidR="00FE3038">
        <w:rPr>
          <w:rFonts w:ascii="Arial" w:eastAsia="Times New Roman" w:hAnsi="Arial" w:cs="Arial"/>
          <w:i/>
          <w:sz w:val="20"/>
          <w:szCs w:val="20"/>
        </w:rPr>
        <w:t xml:space="preserve">půjčkou </w:t>
      </w:r>
      <w:r w:rsidR="00DF020C" w:rsidRPr="00724267">
        <w:rPr>
          <w:rFonts w:ascii="Arial" w:eastAsia="Times New Roman" w:hAnsi="Arial" w:cs="Arial"/>
          <w:i/>
          <w:sz w:val="20"/>
          <w:szCs w:val="20"/>
        </w:rPr>
        <w:t xml:space="preserve">je z pohledu finanční gramotnosti a ekonomického chování k vlastním penězům to nejhorší, co </w:t>
      </w:r>
      <w:r w:rsidR="00FE3038" w:rsidRPr="00724267">
        <w:rPr>
          <w:rFonts w:ascii="Arial" w:eastAsia="Times New Roman" w:hAnsi="Arial" w:cs="Arial"/>
          <w:i/>
          <w:sz w:val="20"/>
          <w:szCs w:val="20"/>
        </w:rPr>
        <w:t xml:space="preserve">člověk </w:t>
      </w:r>
      <w:r w:rsidR="00DF020C" w:rsidRPr="00724267">
        <w:rPr>
          <w:rFonts w:ascii="Arial" w:eastAsia="Times New Roman" w:hAnsi="Arial" w:cs="Arial"/>
          <w:i/>
          <w:sz w:val="20"/>
          <w:szCs w:val="20"/>
        </w:rPr>
        <w:t>může udělat. Potřeba udělat blízkým radost je naprosto přirozená</w:t>
      </w:r>
      <w:r w:rsidR="00724267" w:rsidRPr="00724267">
        <w:rPr>
          <w:rFonts w:ascii="Arial" w:eastAsia="Times New Roman" w:hAnsi="Arial" w:cs="Arial"/>
          <w:i/>
          <w:sz w:val="20"/>
          <w:szCs w:val="20"/>
        </w:rPr>
        <w:t xml:space="preserve"> a správná</w:t>
      </w:r>
      <w:r w:rsidR="00DF020C" w:rsidRPr="00724267">
        <w:rPr>
          <w:rFonts w:ascii="Arial" w:eastAsia="Times New Roman" w:hAnsi="Arial" w:cs="Arial"/>
          <w:i/>
          <w:sz w:val="20"/>
          <w:szCs w:val="20"/>
        </w:rPr>
        <w:t xml:space="preserve">, ale </w:t>
      </w:r>
      <w:r w:rsidR="00724267" w:rsidRPr="00724267">
        <w:rPr>
          <w:rFonts w:ascii="Arial" w:eastAsia="Times New Roman" w:hAnsi="Arial" w:cs="Arial"/>
          <w:i/>
          <w:sz w:val="20"/>
          <w:szCs w:val="20"/>
        </w:rPr>
        <w:t xml:space="preserve">nelze jí vyjít vstříc </w:t>
      </w:r>
      <w:r w:rsidR="00DF020C" w:rsidRPr="00724267">
        <w:rPr>
          <w:rFonts w:ascii="Arial" w:eastAsia="Times New Roman" w:hAnsi="Arial" w:cs="Arial"/>
          <w:i/>
          <w:sz w:val="20"/>
          <w:szCs w:val="20"/>
        </w:rPr>
        <w:t xml:space="preserve">za cenu zadlužení na příštích 7 nebo 10 let. Totéž platí </w:t>
      </w:r>
      <w:r w:rsidR="00FE3038">
        <w:rPr>
          <w:rFonts w:ascii="Arial" w:eastAsia="Times New Roman" w:hAnsi="Arial" w:cs="Arial"/>
          <w:i/>
          <w:sz w:val="20"/>
          <w:szCs w:val="20"/>
        </w:rPr>
        <w:t xml:space="preserve">pro </w:t>
      </w:r>
      <w:r w:rsidR="00DF020C" w:rsidRPr="00724267">
        <w:rPr>
          <w:rFonts w:ascii="Arial" w:eastAsia="Times New Roman" w:hAnsi="Arial" w:cs="Arial"/>
          <w:i/>
          <w:sz w:val="20"/>
          <w:szCs w:val="20"/>
        </w:rPr>
        <w:t>nákup případné vánoční nebo novoroční dovolené na splátky</w:t>
      </w:r>
      <w:r w:rsidR="00724267" w:rsidRPr="00724267">
        <w:rPr>
          <w:rFonts w:ascii="Arial" w:eastAsia="Times New Roman" w:hAnsi="Arial" w:cs="Arial"/>
          <w:i/>
          <w:sz w:val="20"/>
          <w:szCs w:val="20"/>
        </w:rPr>
        <w:t>,“</w:t>
      </w:r>
      <w:r w:rsidR="00724267">
        <w:rPr>
          <w:rFonts w:ascii="Arial" w:eastAsia="Times New Roman" w:hAnsi="Arial" w:cs="Arial"/>
          <w:sz w:val="20"/>
          <w:szCs w:val="20"/>
        </w:rPr>
        <w:t xml:space="preserve"> upozorňuje </w:t>
      </w:r>
      <w:r w:rsidR="00724267" w:rsidRPr="00724267">
        <w:rPr>
          <w:rFonts w:ascii="Arial" w:eastAsia="Times New Roman" w:hAnsi="Arial" w:cs="Arial"/>
          <w:b/>
          <w:sz w:val="20"/>
          <w:szCs w:val="20"/>
        </w:rPr>
        <w:t xml:space="preserve">Richard </w:t>
      </w:r>
      <w:proofErr w:type="spellStart"/>
      <w:r w:rsidR="00724267" w:rsidRPr="00724267">
        <w:rPr>
          <w:rFonts w:ascii="Arial" w:eastAsia="Times New Roman" w:hAnsi="Arial" w:cs="Arial"/>
          <w:b/>
          <w:sz w:val="20"/>
          <w:szCs w:val="20"/>
        </w:rPr>
        <w:t>Haidlmayer</w:t>
      </w:r>
      <w:proofErr w:type="spellEnd"/>
      <w:r w:rsidR="00724267" w:rsidRPr="00724267">
        <w:rPr>
          <w:rFonts w:ascii="Arial" w:eastAsia="Times New Roman" w:hAnsi="Arial" w:cs="Arial"/>
          <w:b/>
          <w:sz w:val="20"/>
          <w:szCs w:val="20"/>
        </w:rPr>
        <w:t>, ředitel OK POINTu v Plzni</w:t>
      </w:r>
      <w:r w:rsidR="00724267">
        <w:rPr>
          <w:rFonts w:ascii="Arial" w:eastAsia="Times New Roman" w:hAnsi="Arial" w:cs="Arial"/>
          <w:sz w:val="20"/>
          <w:szCs w:val="20"/>
        </w:rPr>
        <w:t>.</w:t>
      </w:r>
    </w:p>
    <w:p w14:paraId="6981D0E7" w14:textId="7966374F" w:rsidR="00DF020C" w:rsidRDefault="00DF020C" w:rsidP="0056501A">
      <w:pPr>
        <w:jc w:val="both"/>
        <w:rPr>
          <w:rFonts w:ascii="Arial" w:hAnsi="Arial" w:cs="Arial"/>
          <w:b/>
          <w:bCs/>
          <w:color w:val="FF0000"/>
          <w:sz w:val="20"/>
          <w:szCs w:val="20"/>
        </w:rPr>
      </w:pPr>
    </w:p>
    <w:p w14:paraId="6164D9B1" w14:textId="73763C69" w:rsidR="00DF020C" w:rsidRDefault="00DF020C" w:rsidP="00DF020C">
      <w:pPr>
        <w:jc w:val="center"/>
        <w:rPr>
          <w:rFonts w:ascii="Arial" w:hAnsi="Arial" w:cs="Arial"/>
          <w:b/>
          <w:bCs/>
          <w:color w:val="FF0000"/>
          <w:sz w:val="20"/>
          <w:szCs w:val="20"/>
        </w:rPr>
      </w:pPr>
      <w:r w:rsidRPr="00DF020C">
        <w:rPr>
          <w:rFonts w:ascii="Arial" w:hAnsi="Arial" w:cs="Arial"/>
          <w:b/>
          <w:bCs/>
          <w:noProof/>
          <w:color w:val="FF0000"/>
          <w:sz w:val="20"/>
          <w:szCs w:val="20"/>
          <w:lang w:bidi="ar-SA"/>
        </w:rPr>
        <w:drawing>
          <wp:inline distT="0" distB="0" distL="0" distR="0" wp14:anchorId="19F8722C" wp14:editId="29DE7DA8">
            <wp:extent cx="6489283" cy="2964873"/>
            <wp:effectExtent l="0" t="0" r="6985"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33047" cy="2984868"/>
                    </a:xfrm>
                    <a:prstGeom prst="rect">
                      <a:avLst/>
                    </a:prstGeom>
                  </pic:spPr>
                </pic:pic>
              </a:graphicData>
            </a:graphic>
          </wp:inline>
        </w:drawing>
      </w:r>
    </w:p>
    <w:p w14:paraId="7C9C9C89" w14:textId="77777777" w:rsidR="00DF020C" w:rsidRDefault="00DF020C" w:rsidP="0056501A">
      <w:pPr>
        <w:jc w:val="both"/>
        <w:rPr>
          <w:rFonts w:ascii="Arial" w:hAnsi="Arial" w:cs="Arial"/>
          <w:b/>
          <w:bCs/>
          <w:color w:val="FF0000"/>
          <w:sz w:val="20"/>
          <w:szCs w:val="20"/>
        </w:rPr>
      </w:pPr>
    </w:p>
    <w:p w14:paraId="36634C75" w14:textId="77777777" w:rsidR="00860609" w:rsidRDefault="00860609" w:rsidP="00F5432C">
      <w:pPr>
        <w:jc w:val="both"/>
        <w:rPr>
          <w:rFonts w:ascii="Arial" w:hAnsi="Arial" w:cs="Arial"/>
          <w:b/>
          <w:bCs/>
          <w:sz w:val="20"/>
          <w:szCs w:val="20"/>
        </w:rPr>
      </w:pPr>
    </w:p>
    <w:p w14:paraId="0A7DCA52" w14:textId="16B6F908"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tab/>
      </w:r>
    </w:p>
    <w:p w14:paraId="538051E2" w14:textId="4924DFCB"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002E633F">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sidR="002E633F">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45F0218" w14:textId="77777777" w:rsidR="00480982" w:rsidRDefault="0031712D" w:rsidP="0031712D">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26E6F8FF" w14:textId="50075544" w:rsidR="0031712D" w:rsidRDefault="0031712D" w:rsidP="0031712D">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56501A" w:rsidRDefault="0031712D" w:rsidP="0031712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1ADC2" w14:textId="77777777" w:rsidR="00554D18" w:rsidRDefault="00554D18">
      <w:r>
        <w:separator/>
      </w:r>
    </w:p>
  </w:endnote>
  <w:endnote w:type="continuationSeparator" w:id="0">
    <w:p w14:paraId="5437A946" w14:textId="77777777" w:rsidR="00554D18" w:rsidRDefault="0055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554D18"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7D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554D1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7D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554D1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7D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3E092" w14:textId="77777777" w:rsidR="00554D18" w:rsidRDefault="00554D18">
      <w:r>
        <w:separator/>
      </w:r>
    </w:p>
  </w:footnote>
  <w:footnote w:type="continuationSeparator" w:id="0">
    <w:p w14:paraId="56F93BC8" w14:textId="77777777" w:rsidR="00554D18" w:rsidRDefault="00554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67A5"/>
    <w:rsid w:val="00180051"/>
    <w:rsid w:val="00192716"/>
    <w:rsid w:val="00192C2A"/>
    <w:rsid w:val="00193550"/>
    <w:rsid w:val="00194C95"/>
    <w:rsid w:val="001A54DD"/>
    <w:rsid w:val="001B501B"/>
    <w:rsid w:val="001D015A"/>
    <w:rsid w:val="001D3DFC"/>
    <w:rsid w:val="001D4EA8"/>
    <w:rsid w:val="001E22F1"/>
    <w:rsid w:val="001E3FBF"/>
    <w:rsid w:val="001E4209"/>
    <w:rsid w:val="001F25C4"/>
    <w:rsid w:val="001F2BE0"/>
    <w:rsid w:val="001F3CF1"/>
    <w:rsid w:val="001F7194"/>
    <w:rsid w:val="001F71BA"/>
    <w:rsid w:val="002141AF"/>
    <w:rsid w:val="0023469F"/>
    <w:rsid w:val="002368F3"/>
    <w:rsid w:val="002404A1"/>
    <w:rsid w:val="00241313"/>
    <w:rsid w:val="00242D4D"/>
    <w:rsid w:val="0024551C"/>
    <w:rsid w:val="0025264B"/>
    <w:rsid w:val="0025428A"/>
    <w:rsid w:val="00255182"/>
    <w:rsid w:val="002645E4"/>
    <w:rsid w:val="00270DB3"/>
    <w:rsid w:val="002A3F19"/>
    <w:rsid w:val="002A6FA3"/>
    <w:rsid w:val="002A7325"/>
    <w:rsid w:val="002C0240"/>
    <w:rsid w:val="002C4A25"/>
    <w:rsid w:val="002D1619"/>
    <w:rsid w:val="002E633F"/>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C5664"/>
    <w:rsid w:val="003D1987"/>
    <w:rsid w:val="003F324C"/>
    <w:rsid w:val="003F7018"/>
    <w:rsid w:val="003F79EC"/>
    <w:rsid w:val="004041EF"/>
    <w:rsid w:val="004075C9"/>
    <w:rsid w:val="004116FD"/>
    <w:rsid w:val="0042193A"/>
    <w:rsid w:val="00435342"/>
    <w:rsid w:val="00445D0A"/>
    <w:rsid w:val="00454843"/>
    <w:rsid w:val="00457FFE"/>
    <w:rsid w:val="00461BF2"/>
    <w:rsid w:val="004627B9"/>
    <w:rsid w:val="004678E9"/>
    <w:rsid w:val="00480982"/>
    <w:rsid w:val="00486655"/>
    <w:rsid w:val="004B2DF6"/>
    <w:rsid w:val="004B5797"/>
    <w:rsid w:val="004C3F71"/>
    <w:rsid w:val="004D5CC6"/>
    <w:rsid w:val="004F6195"/>
    <w:rsid w:val="0050659B"/>
    <w:rsid w:val="005153F7"/>
    <w:rsid w:val="005224C1"/>
    <w:rsid w:val="0053153F"/>
    <w:rsid w:val="00531C9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6135FD"/>
    <w:rsid w:val="006166CE"/>
    <w:rsid w:val="006218E4"/>
    <w:rsid w:val="0062747C"/>
    <w:rsid w:val="0064160C"/>
    <w:rsid w:val="006509E8"/>
    <w:rsid w:val="0066135D"/>
    <w:rsid w:val="00664867"/>
    <w:rsid w:val="00667012"/>
    <w:rsid w:val="006768F0"/>
    <w:rsid w:val="00677078"/>
    <w:rsid w:val="00683F9A"/>
    <w:rsid w:val="006859AC"/>
    <w:rsid w:val="0068617E"/>
    <w:rsid w:val="006902C0"/>
    <w:rsid w:val="00690415"/>
    <w:rsid w:val="00691527"/>
    <w:rsid w:val="006939E7"/>
    <w:rsid w:val="006A2F6C"/>
    <w:rsid w:val="006A3BE2"/>
    <w:rsid w:val="006C5ED3"/>
    <w:rsid w:val="006C61E8"/>
    <w:rsid w:val="006D65EC"/>
    <w:rsid w:val="006E26DC"/>
    <w:rsid w:val="006F32FB"/>
    <w:rsid w:val="00705D83"/>
    <w:rsid w:val="00710E0C"/>
    <w:rsid w:val="0072112F"/>
    <w:rsid w:val="00724267"/>
    <w:rsid w:val="00725BF5"/>
    <w:rsid w:val="0076280C"/>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7C7B"/>
    <w:rsid w:val="007B152D"/>
    <w:rsid w:val="007B358E"/>
    <w:rsid w:val="007D14AE"/>
    <w:rsid w:val="007E5614"/>
    <w:rsid w:val="007F2DE8"/>
    <w:rsid w:val="007F4493"/>
    <w:rsid w:val="0080323F"/>
    <w:rsid w:val="0081387C"/>
    <w:rsid w:val="0083053E"/>
    <w:rsid w:val="00831B5E"/>
    <w:rsid w:val="00841AC4"/>
    <w:rsid w:val="00845A34"/>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69B1"/>
    <w:rsid w:val="009A700C"/>
    <w:rsid w:val="009C0ECA"/>
    <w:rsid w:val="009C45BA"/>
    <w:rsid w:val="009D7493"/>
    <w:rsid w:val="009E317D"/>
    <w:rsid w:val="009E31C0"/>
    <w:rsid w:val="009E3B52"/>
    <w:rsid w:val="009F2CB2"/>
    <w:rsid w:val="009F59EE"/>
    <w:rsid w:val="00A069E2"/>
    <w:rsid w:val="00A07639"/>
    <w:rsid w:val="00A11C90"/>
    <w:rsid w:val="00A1395B"/>
    <w:rsid w:val="00A16E82"/>
    <w:rsid w:val="00A252BA"/>
    <w:rsid w:val="00A36D79"/>
    <w:rsid w:val="00A41EA4"/>
    <w:rsid w:val="00A44FE0"/>
    <w:rsid w:val="00A4618A"/>
    <w:rsid w:val="00A712B2"/>
    <w:rsid w:val="00A7796E"/>
    <w:rsid w:val="00AA6E6D"/>
    <w:rsid w:val="00AA79D9"/>
    <w:rsid w:val="00AB50FF"/>
    <w:rsid w:val="00AC4BEC"/>
    <w:rsid w:val="00AC614D"/>
    <w:rsid w:val="00AD1F39"/>
    <w:rsid w:val="00AF042F"/>
    <w:rsid w:val="00B11974"/>
    <w:rsid w:val="00B12CF8"/>
    <w:rsid w:val="00B244B9"/>
    <w:rsid w:val="00B24559"/>
    <w:rsid w:val="00B27178"/>
    <w:rsid w:val="00B310C3"/>
    <w:rsid w:val="00B42229"/>
    <w:rsid w:val="00B43ABC"/>
    <w:rsid w:val="00B51125"/>
    <w:rsid w:val="00B52CDF"/>
    <w:rsid w:val="00B60D60"/>
    <w:rsid w:val="00B65A3B"/>
    <w:rsid w:val="00B67AF0"/>
    <w:rsid w:val="00B83D7B"/>
    <w:rsid w:val="00B94E88"/>
    <w:rsid w:val="00B95BB2"/>
    <w:rsid w:val="00B95EBA"/>
    <w:rsid w:val="00BA04AB"/>
    <w:rsid w:val="00BA23D8"/>
    <w:rsid w:val="00BB4D49"/>
    <w:rsid w:val="00BB6439"/>
    <w:rsid w:val="00BB675F"/>
    <w:rsid w:val="00BC3E08"/>
    <w:rsid w:val="00BD17B0"/>
    <w:rsid w:val="00BD5A47"/>
    <w:rsid w:val="00BD5FB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80B6D"/>
    <w:rsid w:val="00D80CAD"/>
    <w:rsid w:val="00D8513A"/>
    <w:rsid w:val="00D85BBB"/>
    <w:rsid w:val="00D90628"/>
    <w:rsid w:val="00D92D49"/>
    <w:rsid w:val="00D930E7"/>
    <w:rsid w:val="00D93D7A"/>
    <w:rsid w:val="00D9690A"/>
    <w:rsid w:val="00DA08E6"/>
    <w:rsid w:val="00DA7B87"/>
    <w:rsid w:val="00DB63D9"/>
    <w:rsid w:val="00DB7E77"/>
    <w:rsid w:val="00DC30D0"/>
    <w:rsid w:val="00DF020C"/>
    <w:rsid w:val="00DF7D1B"/>
    <w:rsid w:val="00E00DC6"/>
    <w:rsid w:val="00E01A0A"/>
    <w:rsid w:val="00E058A3"/>
    <w:rsid w:val="00E11439"/>
    <w:rsid w:val="00E151F3"/>
    <w:rsid w:val="00E17539"/>
    <w:rsid w:val="00E26CF0"/>
    <w:rsid w:val="00E31346"/>
    <w:rsid w:val="00E376F8"/>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58E9"/>
    <w:rsid w:val="00ED79D6"/>
    <w:rsid w:val="00EE1831"/>
    <w:rsid w:val="00EE6922"/>
    <w:rsid w:val="00EF1AE7"/>
    <w:rsid w:val="00EF2F7C"/>
    <w:rsid w:val="00F101B3"/>
    <w:rsid w:val="00F13FDA"/>
    <w:rsid w:val="00F14982"/>
    <w:rsid w:val="00F20D55"/>
    <w:rsid w:val="00F250B8"/>
    <w:rsid w:val="00F2598D"/>
    <w:rsid w:val="00F31B7E"/>
    <w:rsid w:val="00F336A2"/>
    <w:rsid w:val="00F44AEB"/>
    <w:rsid w:val="00F45620"/>
    <w:rsid w:val="00F51B95"/>
    <w:rsid w:val="00F5432C"/>
    <w:rsid w:val="00F5470D"/>
    <w:rsid w:val="00F82DDB"/>
    <w:rsid w:val="00F83CDB"/>
    <w:rsid w:val="00F9173C"/>
    <w:rsid w:val="00FA1C73"/>
    <w:rsid w:val="00FB18D0"/>
    <w:rsid w:val="00FB2ED6"/>
    <w:rsid w:val="00FB53F1"/>
    <w:rsid w:val="00FC23FE"/>
    <w:rsid w:val="00FC2522"/>
    <w:rsid w:val="00FC5B56"/>
    <w:rsid w:val="00FD4B12"/>
    <w:rsid w:val="00FE10BB"/>
    <w:rsid w:val="00FE30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6479-C78B-40E0-A2F9-71A0E73F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3</Pages>
  <Words>879</Words>
  <Characters>5189</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64</cp:revision>
  <dcterms:created xsi:type="dcterms:W3CDTF">2021-05-26T15:36:00Z</dcterms:created>
  <dcterms:modified xsi:type="dcterms:W3CDTF">2021-11-01T12:00:00Z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