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HYPOTEČNÍCH ÚVĚRŮ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32900BCE" w14:textId="2933662C" w:rsidR="00D80B6D" w:rsidRPr="004B5797" w:rsidRDefault="00A252BA" w:rsidP="00D80B6D">
          <w:pPr>
            <w:spacing w:before="230"/>
            <w:ind w:left="165"/>
            <w:jc w:val="center"/>
            <w:rPr>
              <w:rFonts w:ascii="Arial" w:hAnsi="Arial" w:cs="Arial"/>
              <w:color w:val="1D1D1B"/>
              <w:sz w:val="24"/>
            </w:rPr>
          </w:pPr>
          <w:r>
            <w:rPr>
              <w:rFonts w:ascii="Arial" w:hAnsi="Arial" w:cs="Arial"/>
              <w:color w:val="1D1D1B"/>
              <w:sz w:val="24"/>
            </w:rPr>
            <w:t>POV</w:t>
          </w:r>
          <w:r w:rsidR="00D80B6D" w:rsidRPr="004B5797">
            <w:rPr>
              <w:rFonts w:ascii="Arial" w:hAnsi="Arial" w:cs="Arial"/>
              <w:color w:val="1D1D1B"/>
              <w:sz w:val="24"/>
            </w:rPr>
            <w:t xml:space="preserve">INDEX </w:t>
          </w:r>
        </w:p>
        <w:p w14:paraId="5B21B8A6" w14:textId="77777777" w:rsidR="00D80B6D" w:rsidRPr="004B5797" w:rsidRDefault="00D80B6D" w:rsidP="00D80B6D">
          <w:pPr>
            <w:spacing w:before="230"/>
            <w:ind w:left="165"/>
            <w:jc w:val="center"/>
            <w:rPr>
              <w:rFonts w:ascii="Arial" w:hAnsi="Arial" w:cs="Arial"/>
              <w:b/>
              <w:color w:val="CD1719"/>
              <w:sz w:val="24"/>
            </w:rPr>
          </w:pPr>
          <w:r w:rsidRPr="004B5797">
            <w:rPr>
              <w:rFonts w:ascii="Arial" w:hAnsi="Arial" w:cs="Arial"/>
              <w:b/>
              <w:color w:val="1D1D1B"/>
              <w:sz w:val="24"/>
            </w:rPr>
            <w:t xml:space="preserve">INDEX SPOTŘEBITELSKÝCH ÚVĚRŮ </w:t>
          </w:r>
          <w:r w:rsidRPr="004B5797">
            <w:rPr>
              <w:rFonts w:ascii="Arial" w:hAnsi="Arial" w:cs="Arial"/>
              <w:b/>
              <w:color w:val="CD1719"/>
              <w:sz w:val="24"/>
            </w:rPr>
            <w:t xml:space="preserve"> </w:t>
          </w:r>
        </w:p>
        <w:p w14:paraId="37B597D7" w14:textId="030ED6D6" w:rsidR="00032D94" w:rsidRPr="004B5797" w:rsidRDefault="00CA7673" w:rsidP="00D80B6D">
          <w:pPr>
            <w:spacing w:before="240" w:line="288" w:lineRule="exact"/>
            <w:ind w:left="162"/>
            <w:jc w:val="center"/>
            <w:rPr>
              <w:rFonts w:ascii="Arial" w:hAnsi="Arial" w:cs="Arial"/>
              <w:color w:val="1D1D1B"/>
              <w:sz w:val="24"/>
            </w:rPr>
          </w:pPr>
          <w:r>
            <w:rPr>
              <w:rFonts w:ascii="Arial" w:hAnsi="Arial" w:cs="Arial"/>
              <w:color w:val="1D1D1B"/>
              <w:sz w:val="24"/>
            </w:rPr>
            <w:t>INDEX PODÍLOVÝCH FONDŮ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258F6DB2"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w:t>
          </w:r>
          <w:r w:rsidR="00CA7673">
            <w:rPr>
              <w:rFonts w:ascii="Arial" w:hAnsi="Arial" w:cs="Arial"/>
              <w:sz w:val="18"/>
            </w:rPr>
            <w:t>2</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FC2522">
            <w:rPr>
              <w:rStyle w:val="dn"/>
              <w:rFonts w:ascii="Arial" w:hAnsi="Arial" w:cs="Arial"/>
              <w:sz w:val="18"/>
              <w:szCs w:val="18"/>
            </w:rPr>
            <w:t xml:space="preserve">Více na </w:t>
          </w:r>
          <w:hyperlink r:id="rId9" w:history="1">
            <w:r w:rsidRPr="00FC2522">
              <w:rPr>
                <w:rStyle w:val="Hypertextovodkaz"/>
                <w:rFonts w:ascii="Arial" w:hAnsi="Arial" w:cs="Arial"/>
                <w:color w:val="FF0000"/>
                <w:sz w:val="18"/>
                <w:szCs w:val="18"/>
              </w:rPr>
              <w:t>www.bcas.cz</w:t>
            </w:r>
          </w:hyperlink>
          <w:r w:rsidRPr="00FC2522">
            <w:rPr>
              <w:rStyle w:val="Hypertextovodkaz"/>
              <w:rFonts w:ascii="Arial" w:hAnsi="Arial" w:cs="Arial"/>
              <w:sz w:val="18"/>
              <w:szCs w:val="18"/>
            </w:rPr>
            <w:t xml:space="preserve">, </w:t>
          </w:r>
          <w:hyperlink r:id="rId10" w:history="1">
            <w:r w:rsidRPr="00FC2522">
              <w:rPr>
                <w:rStyle w:val="Hypertextovodkaz"/>
                <w:rFonts w:ascii="Arial" w:hAnsi="Arial" w:cs="Arial"/>
                <w:color w:val="FF0000"/>
                <w:sz w:val="18"/>
                <w:szCs w:val="18"/>
              </w:rPr>
              <w:t>www.okpointy.cz</w:t>
            </w:r>
          </w:hyperlink>
          <w:r w:rsidR="004F6195">
            <w:rPr>
              <w:rStyle w:val="Hypertextovodkaz"/>
              <w:rFonts w:ascii="Arial" w:hAnsi="Arial" w:cs="Arial"/>
              <w:color w:val="FF0000"/>
              <w:sz w:val="18"/>
              <w:szCs w:val="18"/>
            </w:rPr>
            <w:t>, www.okpoint.tv</w:t>
          </w:r>
          <w:r w:rsidRPr="00FC2522">
            <w:rPr>
              <w:rStyle w:val="dn"/>
              <w:rFonts w:ascii="Arial" w:hAnsi="Arial" w:cs="Arial"/>
              <w:sz w:val="18"/>
              <w:szCs w:val="18"/>
            </w:rPr>
            <w:t xml:space="preserve"> a na </w:t>
          </w:r>
          <w:hyperlink r:id="rId11" w:history="1">
            <w:r w:rsidRPr="00FC2522">
              <w:rPr>
                <w:rStyle w:val="Hypertextovodkaz"/>
                <w:rFonts w:ascii="Arial" w:hAnsi="Arial" w:cs="Arial"/>
                <w:color w:val="FF0000"/>
                <w:sz w:val="18"/>
                <w:szCs w:val="18"/>
              </w:rPr>
              <w:t>www.realityspolu.cz</w:t>
            </w:r>
          </w:hyperlink>
          <w:r w:rsidRPr="00FC2522">
            <w:rPr>
              <w:rStyle w:val="dn"/>
              <w:rFonts w:ascii="Arial" w:hAnsi="Arial" w:cs="Arial"/>
              <w:sz w:val="18"/>
              <w:szCs w:val="18"/>
            </w:rPr>
            <w:t xml:space="preserve">. Navštivte také náš </w:t>
          </w:r>
          <w:hyperlink r:id="rId12"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3" w:history="1">
            <w:r w:rsidRPr="00FC2522">
              <w:rPr>
                <w:rStyle w:val="Hypertextovodkaz"/>
                <w:rFonts w:ascii="Arial" w:hAnsi="Arial" w:cs="Arial"/>
                <w:color w:val="FF0000"/>
                <w:sz w:val="18"/>
                <w:szCs w:val="18"/>
              </w:rPr>
              <w:t>LinkedIN</w:t>
            </w:r>
          </w:hyperlink>
          <w:r w:rsidRPr="00FC2522">
            <w:rPr>
              <w:rStyle w:val="dn"/>
              <w:rFonts w:ascii="Arial" w:hAnsi="Arial" w:cs="Arial"/>
              <w:sz w:val="18"/>
              <w:szCs w:val="18"/>
            </w:rPr>
            <w:t xml:space="preserve"> Broker Consulting a </w:t>
          </w:r>
          <w:hyperlink r:id="rId14"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5" w:history="1">
            <w:r w:rsidRPr="00FC2522">
              <w:rPr>
                <w:rStyle w:val="Hypertextovodkaz"/>
                <w:rFonts w:ascii="Arial" w:hAnsi="Arial" w:cs="Arial"/>
                <w:color w:val="FF0000"/>
                <w:sz w:val="18"/>
                <w:szCs w:val="18"/>
              </w:rPr>
              <w:t>LinkedI</w:t>
            </w:r>
          </w:hyperlink>
          <w:r w:rsidRPr="00FC2522">
            <w:rPr>
              <w:rStyle w:val="Hypertextovodkaz"/>
              <w:rFonts w:ascii="Arial" w:hAnsi="Arial" w:cs="Arial"/>
              <w:color w:val="FF0000"/>
              <w:sz w:val="18"/>
              <w:szCs w:val="18"/>
            </w:rPr>
            <w:t>N</w:t>
          </w:r>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4C222D"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41E060F" w14:textId="6480ACC3" w:rsidR="00724267" w:rsidRPr="00B91131" w:rsidRDefault="00724267" w:rsidP="00B91131">
      <w:pPr>
        <w:rPr>
          <w:rFonts w:ascii="Arial" w:hAnsi="Arial" w:cs="Arial"/>
          <w:b/>
          <w:sz w:val="28"/>
          <w:szCs w:val="28"/>
        </w:rPr>
      </w:pPr>
    </w:p>
    <w:p w14:paraId="36FF85DC" w14:textId="22A6814B" w:rsidR="00460FA7" w:rsidRDefault="00460FA7" w:rsidP="00B91131">
      <w:pPr>
        <w:rPr>
          <w:rFonts w:ascii="Segoe UI" w:eastAsia="Times New Roman" w:hAnsi="Segoe UI" w:cs="Segoe UI"/>
          <w:b/>
        </w:rPr>
      </w:pPr>
    </w:p>
    <w:p w14:paraId="3C69C259" w14:textId="507D35AD" w:rsidR="00DA50BA" w:rsidRDefault="00460FA7" w:rsidP="00263C8C">
      <w:pPr>
        <w:jc w:val="center"/>
        <w:rPr>
          <w:rFonts w:ascii="Arial" w:eastAsia="Times New Roman" w:hAnsi="Arial" w:cs="Arial"/>
          <w:b/>
          <w:sz w:val="28"/>
          <w:szCs w:val="28"/>
        </w:rPr>
      </w:pPr>
      <w:r w:rsidRPr="00460FA7">
        <w:rPr>
          <w:rFonts w:ascii="Arial" w:eastAsia="Times New Roman" w:hAnsi="Arial" w:cs="Arial"/>
          <w:b/>
          <w:sz w:val="28"/>
          <w:szCs w:val="28"/>
        </w:rPr>
        <w:t xml:space="preserve">Spotřebitelské úvěry v říjnu </w:t>
      </w:r>
      <w:r w:rsidR="00E40550">
        <w:rPr>
          <w:rFonts w:ascii="Arial" w:eastAsia="Times New Roman" w:hAnsi="Arial" w:cs="Arial"/>
          <w:b/>
          <w:sz w:val="28"/>
          <w:szCs w:val="28"/>
        </w:rPr>
        <w:t>mírně</w:t>
      </w:r>
      <w:r w:rsidRPr="00460FA7">
        <w:rPr>
          <w:rFonts w:ascii="Arial" w:eastAsia="Times New Roman" w:hAnsi="Arial" w:cs="Arial"/>
          <w:b/>
          <w:sz w:val="28"/>
          <w:szCs w:val="28"/>
        </w:rPr>
        <w:t xml:space="preserve"> zlevnily, jejich </w:t>
      </w:r>
      <w:r w:rsidR="00A27A7B">
        <w:rPr>
          <w:rFonts w:ascii="Arial" w:eastAsia="Times New Roman" w:hAnsi="Arial" w:cs="Arial"/>
          <w:b/>
          <w:sz w:val="28"/>
          <w:szCs w:val="28"/>
        </w:rPr>
        <w:t xml:space="preserve">průměrná </w:t>
      </w:r>
      <w:r w:rsidR="00263C8C">
        <w:rPr>
          <w:rFonts w:ascii="Arial" w:eastAsia="Times New Roman" w:hAnsi="Arial" w:cs="Arial"/>
          <w:b/>
          <w:sz w:val="28"/>
          <w:szCs w:val="28"/>
        </w:rPr>
        <w:t xml:space="preserve">úroková </w:t>
      </w:r>
      <w:r w:rsidRPr="00460FA7">
        <w:rPr>
          <w:rFonts w:ascii="Arial" w:eastAsia="Times New Roman" w:hAnsi="Arial" w:cs="Arial"/>
          <w:b/>
          <w:sz w:val="28"/>
          <w:szCs w:val="28"/>
        </w:rPr>
        <w:t xml:space="preserve">sazba </w:t>
      </w:r>
      <w:r w:rsidR="00263C8C">
        <w:rPr>
          <w:rFonts w:ascii="Arial" w:eastAsia="Times New Roman" w:hAnsi="Arial" w:cs="Arial"/>
          <w:b/>
          <w:sz w:val="28"/>
          <w:szCs w:val="28"/>
        </w:rPr>
        <w:t>poklesla</w:t>
      </w:r>
      <w:r w:rsidRPr="00460FA7">
        <w:rPr>
          <w:rFonts w:ascii="Arial" w:eastAsia="Times New Roman" w:hAnsi="Arial" w:cs="Arial"/>
          <w:b/>
          <w:sz w:val="28"/>
          <w:szCs w:val="28"/>
        </w:rPr>
        <w:t xml:space="preserve"> na 6,04 </w:t>
      </w:r>
      <w:r w:rsidR="00263C8C">
        <w:rPr>
          <w:rFonts w:ascii="Arial" w:eastAsia="Times New Roman" w:hAnsi="Arial" w:cs="Arial"/>
          <w:b/>
          <w:sz w:val="28"/>
          <w:szCs w:val="28"/>
        </w:rPr>
        <w:t>procenta</w:t>
      </w:r>
      <w:r w:rsidR="00473E24">
        <w:rPr>
          <w:rFonts w:ascii="Arial" w:eastAsia="Times New Roman" w:hAnsi="Arial" w:cs="Arial"/>
          <w:b/>
          <w:sz w:val="28"/>
          <w:szCs w:val="28"/>
        </w:rPr>
        <w:t xml:space="preserve"> </w:t>
      </w:r>
    </w:p>
    <w:p w14:paraId="18EBA0CC" w14:textId="77777777" w:rsidR="00DA50BA" w:rsidRDefault="00DA50BA" w:rsidP="00B91131">
      <w:pPr>
        <w:rPr>
          <w:rFonts w:ascii="Arial" w:eastAsia="Times New Roman" w:hAnsi="Arial" w:cs="Arial"/>
          <w:b/>
          <w:sz w:val="28"/>
          <w:szCs w:val="28"/>
        </w:rPr>
      </w:pPr>
    </w:p>
    <w:p w14:paraId="617BA37D" w14:textId="77777777" w:rsidR="003C7F98" w:rsidRDefault="003C7F98" w:rsidP="009A52BA">
      <w:pPr>
        <w:jc w:val="both"/>
        <w:rPr>
          <w:rFonts w:ascii="Arial" w:hAnsi="Arial" w:cs="Arial"/>
          <w:bCs/>
          <w:i/>
          <w:sz w:val="20"/>
          <w:szCs w:val="20"/>
        </w:rPr>
      </w:pPr>
    </w:p>
    <w:p w14:paraId="2F115387" w14:textId="43426C4D" w:rsidR="009A52BA" w:rsidRDefault="003C7F98" w:rsidP="009A52BA">
      <w:pPr>
        <w:jc w:val="both"/>
        <w:rPr>
          <w:rFonts w:ascii="Arial" w:eastAsia="Times New Roman" w:hAnsi="Arial" w:cs="Arial"/>
          <w:b/>
          <w:color w:val="FF0000"/>
          <w:sz w:val="20"/>
          <w:szCs w:val="20"/>
        </w:rPr>
      </w:pPr>
      <w:r w:rsidRPr="00E11439">
        <w:rPr>
          <w:rFonts w:ascii="Arial" w:hAnsi="Arial" w:cs="Arial"/>
          <w:bCs/>
          <w:i/>
          <w:sz w:val="20"/>
          <w:szCs w:val="20"/>
        </w:rPr>
        <w:t xml:space="preserve">Praha, </w:t>
      </w:r>
      <w:r>
        <w:rPr>
          <w:rFonts w:ascii="Arial" w:hAnsi="Arial" w:cs="Arial"/>
          <w:bCs/>
          <w:i/>
          <w:sz w:val="20"/>
          <w:szCs w:val="20"/>
        </w:rPr>
        <w:t>2</w:t>
      </w:r>
      <w:r w:rsidR="00515952">
        <w:rPr>
          <w:rFonts w:ascii="Arial" w:hAnsi="Arial" w:cs="Arial"/>
          <w:bCs/>
          <w:i/>
          <w:sz w:val="20"/>
          <w:szCs w:val="20"/>
        </w:rPr>
        <w:t>9</w:t>
      </w:r>
      <w:r w:rsidRPr="00E11439">
        <w:rPr>
          <w:rFonts w:ascii="Arial" w:hAnsi="Arial" w:cs="Arial"/>
          <w:bCs/>
          <w:i/>
          <w:sz w:val="20"/>
          <w:szCs w:val="20"/>
        </w:rPr>
        <w:t xml:space="preserve">. </w:t>
      </w:r>
      <w:r>
        <w:rPr>
          <w:rFonts w:ascii="Arial" w:hAnsi="Arial" w:cs="Arial"/>
          <w:bCs/>
          <w:i/>
          <w:sz w:val="20"/>
          <w:szCs w:val="20"/>
        </w:rPr>
        <w:t>listopadu</w:t>
      </w:r>
      <w:r w:rsidRPr="00E11439">
        <w:rPr>
          <w:rFonts w:ascii="Arial" w:hAnsi="Arial" w:cs="Arial"/>
          <w:bCs/>
          <w:i/>
          <w:sz w:val="20"/>
          <w:szCs w:val="20"/>
        </w:rPr>
        <w:t xml:space="preserve"> 2021</w:t>
      </w:r>
      <w:r w:rsidRPr="00EB716B">
        <w:rPr>
          <w:rFonts w:ascii="Arial" w:hAnsi="Arial" w:cs="Arial"/>
          <w:bCs/>
          <w:sz w:val="20"/>
          <w:szCs w:val="20"/>
        </w:rPr>
        <w:t xml:space="preserve"> –</w:t>
      </w:r>
      <w:r w:rsidRPr="00EB716B">
        <w:rPr>
          <w:rFonts w:ascii="Arial" w:hAnsi="Arial" w:cs="Arial"/>
          <w:b/>
          <w:bCs/>
          <w:sz w:val="20"/>
          <w:szCs w:val="20"/>
        </w:rPr>
        <w:t xml:space="preserve"> </w:t>
      </w:r>
      <w:r w:rsidR="00263C8C">
        <w:rPr>
          <w:rFonts w:ascii="Arial" w:eastAsia="Times New Roman" w:hAnsi="Arial" w:cs="Arial"/>
          <w:b/>
          <w:sz w:val="20"/>
          <w:szCs w:val="20"/>
        </w:rPr>
        <w:t xml:space="preserve">Po zářijovém zvýšení nabraly úrokové sazby u úvěrů na cokoli opět směr dolů, jak </w:t>
      </w:r>
      <w:r>
        <w:rPr>
          <w:rFonts w:ascii="Arial" w:eastAsia="Times New Roman" w:hAnsi="Arial" w:cs="Arial"/>
          <w:b/>
          <w:sz w:val="20"/>
          <w:szCs w:val="20"/>
        </w:rPr>
        <w:t xml:space="preserve">ukázaly </w:t>
      </w:r>
      <w:r w:rsidR="00743E6A">
        <w:rPr>
          <w:rFonts w:ascii="Arial" w:eastAsia="Times New Roman" w:hAnsi="Arial" w:cs="Arial"/>
          <w:b/>
          <w:sz w:val="20"/>
          <w:szCs w:val="20"/>
        </w:rPr>
        <w:t xml:space="preserve">říjnové </w:t>
      </w:r>
      <w:r w:rsidR="00263C8C">
        <w:rPr>
          <w:rFonts w:ascii="Arial" w:eastAsia="Times New Roman" w:hAnsi="Arial" w:cs="Arial"/>
          <w:b/>
          <w:sz w:val="20"/>
          <w:szCs w:val="20"/>
        </w:rPr>
        <w:t>výsledky</w:t>
      </w:r>
      <w:r w:rsidR="00DA50BA">
        <w:rPr>
          <w:rFonts w:ascii="Arial" w:eastAsia="Times New Roman" w:hAnsi="Arial" w:cs="Arial"/>
          <w:b/>
          <w:sz w:val="20"/>
          <w:szCs w:val="20"/>
        </w:rPr>
        <w:t xml:space="preserve"> </w:t>
      </w:r>
      <w:r w:rsidR="00460FA7" w:rsidRPr="00DA50BA">
        <w:rPr>
          <w:rFonts w:ascii="Arial" w:eastAsia="Times New Roman" w:hAnsi="Arial" w:cs="Arial"/>
          <w:b/>
          <w:sz w:val="20"/>
          <w:szCs w:val="20"/>
        </w:rPr>
        <w:t xml:space="preserve">Broker </w:t>
      </w:r>
      <w:r w:rsidR="00DA50BA" w:rsidRPr="00DA50BA">
        <w:rPr>
          <w:rFonts w:ascii="Arial" w:eastAsia="Times New Roman" w:hAnsi="Arial" w:cs="Arial"/>
          <w:b/>
          <w:sz w:val="20"/>
          <w:szCs w:val="20"/>
        </w:rPr>
        <w:t>Consulting Indexu spotřebitelských úvěrů</w:t>
      </w:r>
      <w:r w:rsidR="00743E6A">
        <w:rPr>
          <w:rFonts w:ascii="Arial" w:eastAsia="Times New Roman" w:hAnsi="Arial" w:cs="Arial"/>
          <w:b/>
          <w:sz w:val="20"/>
          <w:szCs w:val="20"/>
        </w:rPr>
        <w:t>.</w:t>
      </w:r>
      <w:r w:rsidR="00DA50BA">
        <w:rPr>
          <w:rFonts w:ascii="Arial" w:eastAsia="Times New Roman" w:hAnsi="Arial" w:cs="Arial"/>
          <w:b/>
          <w:sz w:val="20"/>
          <w:szCs w:val="20"/>
        </w:rPr>
        <w:t xml:space="preserve"> </w:t>
      </w:r>
      <w:r w:rsidR="00743E6A">
        <w:rPr>
          <w:rFonts w:ascii="Arial" w:eastAsia="Times New Roman" w:hAnsi="Arial" w:cs="Arial"/>
          <w:b/>
          <w:sz w:val="20"/>
          <w:szCs w:val="20"/>
        </w:rPr>
        <w:t xml:space="preserve">Jeho hodnota </w:t>
      </w:r>
      <w:r w:rsidR="00263C8C">
        <w:rPr>
          <w:rFonts w:ascii="Arial" w:eastAsia="Times New Roman" w:hAnsi="Arial" w:cs="Arial"/>
          <w:b/>
          <w:sz w:val="20"/>
          <w:szCs w:val="20"/>
        </w:rPr>
        <w:t>meziměsíčně</w:t>
      </w:r>
      <w:r w:rsidR="00DA50BA">
        <w:rPr>
          <w:rFonts w:ascii="Arial" w:eastAsia="Times New Roman" w:hAnsi="Arial" w:cs="Arial"/>
          <w:b/>
          <w:sz w:val="20"/>
          <w:szCs w:val="20"/>
        </w:rPr>
        <w:t xml:space="preserve"> poklesla o 0,27 procentního bodu na 6,04 %. </w:t>
      </w:r>
      <w:r w:rsidR="009A52BA">
        <w:rPr>
          <w:rFonts w:ascii="Arial" w:eastAsia="Times New Roman" w:hAnsi="Arial" w:cs="Arial"/>
          <w:b/>
          <w:sz w:val="20"/>
          <w:szCs w:val="20"/>
        </w:rPr>
        <w:t>U</w:t>
      </w:r>
      <w:r w:rsidR="00A27A7B">
        <w:rPr>
          <w:rFonts w:ascii="Arial" w:eastAsia="Times New Roman" w:hAnsi="Arial" w:cs="Arial"/>
          <w:b/>
          <w:sz w:val="20"/>
          <w:szCs w:val="20"/>
        </w:rPr>
        <w:t xml:space="preserve"> tohoto typu</w:t>
      </w:r>
      <w:r w:rsidR="009A52BA">
        <w:rPr>
          <w:rFonts w:ascii="Arial" w:eastAsia="Times New Roman" w:hAnsi="Arial" w:cs="Arial"/>
          <w:b/>
          <w:sz w:val="20"/>
          <w:szCs w:val="20"/>
        </w:rPr>
        <w:t xml:space="preserve"> úvěrů se </w:t>
      </w:r>
      <w:r w:rsidR="00200B65">
        <w:rPr>
          <w:rFonts w:ascii="Arial" w:eastAsia="Times New Roman" w:hAnsi="Arial" w:cs="Arial"/>
          <w:b/>
          <w:sz w:val="20"/>
          <w:szCs w:val="20"/>
        </w:rPr>
        <w:t>pro</w:t>
      </w:r>
      <w:r w:rsidR="009A52BA">
        <w:rPr>
          <w:rFonts w:ascii="Arial" w:eastAsia="Times New Roman" w:hAnsi="Arial" w:cs="Arial"/>
          <w:b/>
          <w:sz w:val="20"/>
          <w:szCs w:val="20"/>
        </w:rPr>
        <w:t xml:space="preserve">zatím </w:t>
      </w:r>
      <w:r w:rsidR="00743E6A">
        <w:rPr>
          <w:rFonts w:ascii="Arial" w:eastAsia="Times New Roman" w:hAnsi="Arial" w:cs="Arial"/>
          <w:b/>
          <w:sz w:val="20"/>
          <w:szCs w:val="20"/>
        </w:rPr>
        <w:t xml:space="preserve">neprojevuje </w:t>
      </w:r>
      <w:r w:rsidR="009A52BA" w:rsidRPr="009A52BA">
        <w:rPr>
          <w:rFonts w:ascii="Arial" w:eastAsia="Times New Roman" w:hAnsi="Arial" w:cs="Arial"/>
          <w:b/>
          <w:sz w:val="20"/>
          <w:szCs w:val="20"/>
        </w:rPr>
        <w:t xml:space="preserve">opakované </w:t>
      </w:r>
      <w:r w:rsidR="00743E6A" w:rsidRPr="009A52BA">
        <w:rPr>
          <w:rFonts w:ascii="Arial" w:eastAsia="Times New Roman" w:hAnsi="Arial" w:cs="Arial"/>
          <w:b/>
          <w:sz w:val="20"/>
          <w:szCs w:val="20"/>
        </w:rPr>
        <w:t xml:space="preserve">zvyšování základních </w:t>
      </w:r>
      <w:r w:rsidR="009A52BA">
        <w:rPr>
          <w:rFonts w:ascii="Arial" w:eastAsia="Times New Roman" w:hAnsi="Arial" w:cs="Arial"/>
          <w:b/>
          <w:sz w:val="20"/>
          <w:szCs w:val="20"/>
        </w:rPr>
        <w:t xml:space="preserve">úrokových </w:t>
      </w:r>
      <w:r w:rsidR="00200B65">
        <w:rPr>
          <w:rFonts w:ascii="Arial" w:eastAsia="Times New Roman" w:hAnsi="Arial" w:cs="Arial"/>
          <w:b/>
          <w:sz w:val="20"/>
          <w:szCs w:val="20"/>
        </w:rPr>
        <w:t>sazeb České národní banky</w:t>
      </w:r>
      <w:r w:rsidR="00E40550">
        <w:rPr>
          <w:rFonts w:ascii="Arial" w:eastAsia="Times New Roman" w:hAnsi="Arial" w:cs="Arial"/>
          <w:b/>
          <w:sz w:val="20"/>
          <w:szCs w:val="20"/>
        </w:rPr>
        <w:t xml:space="preserve">, </w:t>
      </w:r>
      <w:r w:rsidR="00473E24">
        <w:rPr>
          <w:rFonts w:ascii="Arial" w:eastAsia="Times New Roman" w:hAnsi="Arial" w:cs="Arial"/>
          <w:b/>
          <w:sz w:val="20"/>
          <w:szCs w:val="20"/>
        </w:rPr>
        <w:t xml:space="preserve">podle odborníků navíc </w:t>
      </w:r>
      <w:r w:rsidR="00A27A7B">
        <w:rPr>
          <w:rFonts w:ascii="Arial" w:eastAsia="Times New Roman" w:hAnsi="Arial" w:cs="Arial"/>
          <w:b/>
          <w:sz w:val="20"/>
          <w:szCs w:val="20"/>
        </w:rPr>
        <w:t xml:space="preserve">v porovnání s hypotékami </w:t>
      </w:r>
      <w:r w:rsidR="00473E24">
        <w:rPr>
          <w:rFonts w:ascii="Arial" w:eastAsia="Times New Roman" w:hAnsi="Arial" w:cs="Arial"/>
          <w:b/>
          <w:sz w:val="20"/>
          <w:szCs w:val="20"/>
        </w:rPr>
        <w:t xml:space="preserve">nepůjde o </w:t>
      </w:r>
      <w:r w:rsidR="009A52BA">
        <w:rPr>
          <w:rFonts w:ascii="Arial" w:eastAsia="Times New Roman" w:hAnsi="Arial" w:cs="Arial"/>
          <w:b/>
          <w:sz w:val="20"/>
          <w:szCs w:val="20"/>
        </w:rPr>
        <w:t>razantní zdražení úvěrů</w:t>
      </w:r>
      <w:r w:rsidR="00473E24">
        <w:rPr>
          <w:rFonts w:ascii="Arial" w:eastAsia="Times New Roman" w:hAnsi="Arial" w:cs="Arial"/>
          <w:b/>
          <w:sz w:val="20"/>
          <w:szCs w:val="20"/>
        </w:rPr>
        <w:t xml:space="preserve">. </w:t>
      </w:r>
      <w:r w:rsidR="009A52BA">
        <w:rPr>
          <w:rFonts w:ascii="Arial" w:eastAsia="Times New Roman" w:hAnsi="Arial" w:cs="Arial"/>
          <w:b/>
          <w:sz w:val="20"/>
          <w:szCs w:val="20"/>
        </w:rPr>
        <w:t xml:space="preserve"> </w:t>
      </w:r>
      <w:r w:rsidR="00743E6A">
        <w:rPr>
          <w:rFonts w:ascii="Arial" w:eastAsia="Times New Roman" w:hAnsi="Arial" w:cs="Arial"/>
          <w:b/>
          <w:color w:val="FF0000"/>
          <w:sz w:val="20"/>
          <w:szCs w:val="20"/>
        </w:rPr>
        <w:t xml:space="preserve"> </w:t>
      </w:r>
    </w:p>
    <w:p w14:paraId="68B88B98" w14:textId="77777777" w:rsidR="009A52BA" w:rsidRDefault="009A52BA" w:rsidP="00B91131">
      <w:pPr>
        <w:rPr>
          <w:rFonts w:ascii="Arial" w:eastAsia="Times New Roman" w:hAnsi="Arial" w:cs="Arial"/>
          <w:b/>
          <w:color w:val="FF0000"/>
          <w:sz w:val="20"/>
          <w:szCs w:val="20"/>
        </w:rPr>
      </w:pPr>
    </w:p>
    <w:p w14:paraId="716FCE49" w14:textId="7B4830D5" w:rsidR="009A52BA" w:rsidRDefault="005361AF" w:rsidP="005361AF">
      <w:pPr>
        <w:jc w:val="both"/>
        <w:rPr>
          <w:rFonts w:ascii="Arial" w:eastAsia="Times New Roman" w:hAnsi="Arial" w:cs="Arial"/>
          <w:i/>
          <w:sz w:val="20"/>
          <w:szCs w:val="20"/>
        </w:rPr>
      </w:pPr>
      <w:r>
        <w:rPr>
          <w:rFonts w:ascii="Arial" w:eastAsia="Times New Roman" w:hAnsi="Arial" w:cs="Arial"/>
          <w:i/>
          <w:sz w:val="20"/>
          <w:szCs w:val="20"/>
        </w:rPr>
        <w:t>„</w:t>
      </w:r>
      <w:r w:rsidR="00A27A7B" w:rsidRPr="00A27A7B">
        <w:rPr>
          <w:rFonts w:ascii="Arial" w:eastAsia="Times New Roman" w:hAnsi="Arial" w:cs="Arial"/>
          <w:i/>
          <w:sz w:val="20"/>
          <w:szCs w:val="20"/>
        </w:rPr>
        <w:t xml:space="preserve">Říjnová průměrná sazba </w:t>
      </w:r>
      <w:r w:rsidR="00E40550">
        <w:rPr>
          <w:rFonts w:ascii="Arial" w:eastAsia="Times New Roman" w:hAnsi="Arial" w:cs="Arial"/>
          <w:i/>
          <w:sz w:val="20"/>
          <w:szCs w:val="20"/>
        </w:rPr>
        <w:t xml:space="preserve">u </w:t>
      </w:r>
      <w:r w:rsidR="00A27A7B" w:rsidRPr="00A27A7B">
        <w:rPr>
          <w:rFonts w:ascii="Arial" w:eastAsia="Times New Roman" w:hAnsi="Arial" w:cs="Arial"/>
          <w:i/>
          <w:sz w:val="20"/>
          <w:szCs w:val="20"/>
        </w:rPr>
        <w:t>spotřebitelských úvěrů se ve srovnání s předchozími lety drží stále nízko. Loni v říjnu se pohybovala na</w:t>
      </w:r>
      <w:r w:rsidR="00356752">
        <w:rPr>
          <w:rFonts w:ascii="Arial" w:eastAsia="Times New Roman" w:hAnsi="Arial" w:cs="Arial"/>
          <w:i/>
          <w:sz w:val="20"/>
          <w:szCs w:val="20"/>
        </w:rPr>
        <w:t xml:space="preserve"> úrovni 6,49 %, o</w:t>
      </w:r>
      <w:r w:rsidR="00A27A7B" w:rsidRPr="00A27A7B">
        <w:rPr>
          <w:rFonts w:ascii="Arial" w:eastAsia="Times New Roman" w:hAnsi="Arial" w:cs="Arial"/>
          <w:i/>
          <w:sz w:val="20"/>
          <w:szCs w:val="20"/>
        </w:rPr>
        <w:t xml:space="preserve"> rok dříve vystoupala na 6,60 %.</w:t>
      </w:r>
      <w:r w:rsidR="00A27A7B">
        <w:rPr>
          <w:rFonts w:ascii="Arial" w:eastAsia="Times New Roman" w:hAnsi="Arial" w:cs="Arial"/>
          <w:i/>
          <w:sz w:val="20"/>
          <w:szCs w:val="20"/>
        </w:rPr>
        <w:t xml:space="preserve"> </w:t>
      </w:r>
      <w:r w:rsidR="00356752">
        <w:rPr>
          <w:rFonts w:ascii="Arial" w:eastAsia="Times New Roman" w:hAnsi="Arial" w:cs="Arial"/>
          <w:i/>
          <w:sz w:val="20"/>
          <w:szCs w:val="20"/>
        </w:rPr>
        <w:t xml:space="preserve">Vzhledem k tomu, jakým tempem ČNB v poslední době zvyšuje základní úrokové sazby, očekávám, že </w:t>
      </w:r>
      <w:r>
        <w:rPr>
          <w:rFonts w:ascii="Arial" w:eastAsia="Times New Roman" w:hAnsi="Arial" w:cs="Arial"/>
          <w:i/>
          <w:sz w:val="20"/>
          <w:szCs w:val="20"/>
        </w:rPr>
        <w:t xml:space="preserve">po Novém roce začnou zvyšovat sazby </w:t>
      </w:r>
      <w:r w:rsidR="00356752">
        <w:rPr>
          <w:rFonts w:ascii="Arial" w:eastAsia="Times New Roman" w:hAnsi="Arial" w:cs="Arial"/>
          <w:i/>
          <w:sz w:val="20"/>
          <w:szCs w:val="20"/>
        </w:rPr>
        <w:t>spotře</w:t>
      </w:r>
      <w:bookmarkStart w:id="0" w:name="_GoBack"/>
      <w:bookmarkEnd w:id="0"/>
      <w:r w:rsidR="00356752">
        <w:rPr>
          <w:rFonts w:ascii="Arial" w:eastAsia="Times New Roman" w:hAnsi="Arial" w:cs="Arial"/>
          <w:i/>
          <w:sz w:val="20"/>
          <w:szCs w:val="20"/>
        </w:rPr>
        <w:t xml:space="preserve">bitelských úvěrů i </w:t>
      </w:r>
      <w:r>
        <w:rPr>
          <w:rFonts w:ascii="Arial" w:eastAsia="Times New Roman" w:hAnsi="Arial" w:cs="Arial"/>
          <w:i/>
          <w:sz w:val="20"/>
          <w:szCs w:val="20"/>
        </w:rPr>
        <w:t xml:space="preserve">jejich poskytovatelé. </w:t>
      </w:r>
      <w:r w:rsidR="00200B65">
        <w:rPr>
          <w:rFonts w:ascii="Arial" w:eastAsia="Times New Roman" w:hAnsi="Arial" w:cs="Arial"/>
          <w:i/>
          <w:sz w:val="20"/>
          <w:szCs w:val="20"/>
        </w:rPr>
        <w:t>Domnívám se, že p</w:t>
      </w:r>
      <w:r>
        <w:rPr>
          <w:rFonts w:ascii="Arial" w:eastAsia="Times New Roman" w:hAnsi="Arial" w:cs="Arial"/>
          <w:i/>
          <w:sz w:val="20"/>
          <w:szCs w:val="20"/>
        </w:rPr>
        <w:t>řed Vánocemi k tomuto kroku z pochopitelných důvodů nepřistoupí,“</w:t>
      </w:r>
      <w:r w:rsidR="00200B65">
        <w:rPr>
          <w:rFonts w:ascii="Arial" w:eastAsia="Times New Roman" w:hAnsi="Arial" w:cs="Arial"/>
          <w:sz w:val="20"/>
          <w:szCs w:val="20"/>
        </w:rPr>
        <w:t xml:space="preserve"> předpokládá</w:t>
      </w:r>
      <w:r w:rsidRPr="005361AF">
        <w:rPr>
          <w:rFonts w:ascii="Arial" w:eastAsia="Times New Roman" w:hAnsi="Arial" w:cs="Arial"/>
          <w:sz w:val="20"/>
          <w:szCs w:val="20"/>
        </w:rPr>
        <w:t xml:space="preserve"> </w:t>
      </w:r>
      <w:r w:rsidRPr="005361AF">
        <w:rPr>
          <w:rFonts w:ascii="Arial" w:eastAsia="Times New Roman" w:hAnsi="Arial" w:cs="Arial"/>
          <w:b/>
          <w:sz w:val="20"/>
          <w:szCs w:val="20"/>
        </w:rPr>
        <w:t>Martin Novák, hlavní analytik společnosti Broker Consulting</w:t>
      </w:r>
      <w:r w:rsidRPr="005361AF">
        <w:rPr>
          <w:rFonts w:ascii="Arial" w:eastAsia="Times New Roman" w:hAnsi="Arial" w:cs="Arial"/>
          <w:sz w:val="20"/>
          <w:szCs w:val="20"/>
        </w:rPr>
        <w:t>.</w:t>
      </w:r>
    </w:p>
    <w:p w14:paraId="6BD193EA" w14:textId="622455AB" w:rsidR="005361AF" w:rsidRDefault="005361AF" w:rsidP="005361AF">
      <w:pPr>
        <w:jc w:val="both"/>
        <w:rPr>
          <w:rFonts w:ascii="Arial" w:eastAsia="Times New Roman" w:hAnsi="Arial" w:cs="Arial"/>
          <w:i/>
          <w:sz w:val="20"/>
          <w:szCs w:val="20"/>
        </w:rPr>
      </w:pPr>
    </w:p>
    <w:p w14:paraId="39E0EE75" w14:textId="104F72B8" w:rsidR="003C7F98" w:rsidRPr="003C7F98" w:rsidRDefault="00B65687" w:rsidP="003C7F98">
      <w:pPr>
        <w:jc w:val="both"/>
        <w:rPr>
          <w:rFonts w:ascii="Arial" w:eastAsia="Times New Roman" w:hAnsi="Arial" w:cs="Arial"/>
          <w:sz w:val="20"/>
          <w:szCs w:val="20"/>
        </w:rPr>
      </w:pPr>
      <w:r w:rsidRPr="00B65687">
        <w:rPr>
          <w:rFonts w:ascii="Arial" w:eastAsia="Times New Roman" w:hAnsi="Arial" w:cs="Arial"/>
          <w:sz w:val="20"/>
          <w:szCs w:val="20"/>
        </w:rPr>
        <w:t xml:space="preserve">Období vánočních svátků je tradičně spojeno se zvýšenými útratami domácností. Podle nedávného průzkumu České bankovní asociace plánuje zhruba desetina Čechů vzít si na </w:t>
      </w:r>
      <w:r>
        <w:rPr>
          <w:rFonts w:ascii="Arial" w:eastAsia="Times New Roman" w:hAnsi="Arial" w:cs="Arial"/>
          <w:sz w:val="20"/>
          <w:szCs w:val="20"/>
        </w:rPr>
        <w:t xml:space="preserve">vánoční </w:t>
      </w:r>
      <w:r w:rsidRPr="00B65687">
        <w:rPr>
          <w:rFonts w:ascii="Arial" w:eastAsia="Times New Roman" w:hAnsi="Arial" w:cs="Arial"/>
          <w:sz w:val="20"/>
          <w:szCs w:val="20"/>
        </w:rPr>
        <w:t xml:space="preserve">dárky úvěr v průměrné výši 10 600 korun. </w:t>
      </w:r>
      <w:r>
        <w:rPr>
          <w:rFonts w:ascii="Arial" w:eastAsia="Times New Roman" w:hAnsi="Arial" w:cs="Arial"/>
          <w:sz w:val="20"/>
          <w:szCs w:val="20"/>
        </w:rPr>
        <w:t xml:space="preserve">Zarážející je fakt, že celých 95 % </w:t>
      </w:r>
      <w:r w:rsidR="00E40550">
        <w:rPr>
          <w:rFonts w:ascii="Arial" w:eastAsia="Times New Roman" w:hAnsi="Arial" w:cs="Arial"/>
          <w:sz w:val="20"/>
          <w:szCs w:val="20"/>
        </w:rPr>
        <w:t xml:space="preserve">lidí </w:t>
      </w:r>
      <w:r>
        <w:rPr>
          <w:rFonts w:ascii="Arial" w:eastAsia="Times New Roman" w:hAnsi="Arial" w:cs="Arial"/>
          <w:sz w:val="20"/>
          <w:szCs w:val="20"/>
        </w:rPr>
        <w:t xml:space="preserve">si přitom uvědomuje, že půjčka na dárky je špatné rozhodnutí. </w:t>
      </w:r>
      <w:r w:rsidR="003C7F98" w:rsidRPr="003C7F98">
        <w:rPr>
          <w:rFonts w:ascii="Arial" w:eastAsia="Times New Roman" w:hAnsi="Arial" w:cs="Arial"/>
          <w:i/>
          <w:sz w:val="20"/>
          <w:szCs w:val="20"/>
        </w:rPr>
        <w:t xml:space="preserve">„Brát si spotřebitelský úvěr na zbytné věci představuje </w:t>
      </w:r>
      <w:r w:rsidR="003C7F98" w:rsidRPr="003C7F98">
        <w:rPr>
          <w:rFonts w:ascii="Arial" w:hAnsi="Arial" w:cs="Arial"/>
          <w:i/>
          <w:sz w:val="20"/>
          <w:szCs w:val="20"/>
        </w:rPr>
        <w:t xml:space="preserve">jedno z nejhorších ekonomických rozhodnutí, které člověk může udělat. I když splátka úvěru </w:t>
      </w:r>
      <w:r w:rsidR="003C7F98">
        <w:rPr>
          <w:rFonts w:ascii="Arial" w:hAnsi="Arial" w:cs="Arial"/>
          <w:i/>
          <w:sz w:val="20"/>
          <w:szCs w:val="20"/>
        </w:rPr>
        <w:t xml:space="preserve">na dárky se </w:t>
      </w:r>
      <w:r w:rsidR="003C7F98" w:rsidRPr="003C7F98">
        <w:rPr>
          <w:rFonts w:ascii="Arial" w:hAnsi="Arial" w:cs="Arial"/>
          <w:i/>
          <w:sz w:val="20"/>
          <w:szCs w:val="20"/>
        </w:rPr>
        <w:t xml:space="preserve">na první pohled nemusí </w:t>
      </w:r>
      <w:r w:rsidR="003C7F98">
        <w:rPr>
          <w:rFonts w:ascii="Arial" w:hAnsi="Arial" w:cs="Arial"/>
          <w:i/>
          <w:sz w:val="20"/>
          <w:szCs w:val="20"/>
        </w:rPr>
        <w:t>zdát</w:t>
      </w:r>
      <w:r w:rsidR="003C7F98" w:rsidRPr="003C7F98">
        <w:rPr>
          <w:rFonts w:ascii="Arial" w:hAnsi="Arial" w:cs="Arial"/>
          <w:i/>
          <w:sz w:val="20"/>
          <w:szCs w:val="20"/>
        </w:rPr>
        <w:t xml:space="preserve"> vysoká, její splácení bude trvat několik dalších let,“ </w:t>
      </w:r>
      <w:r w:rsidR="003C7F98">
        <w:rPr>
          <w:rFonts w:ascii="Arial" w:hAnsi="Arial" w:cs="Arial"/>
          <w:sz w:val="20"/>
          <w:szCs w:val="20"/>
        </w:rPr>
        <w:t>varuje Martin Novák. </w:t>
      </w:r>
    </w:p>
    <w:p w14:paraId="367FC08F" w14:textId="71722C08" w:rsidR="00B65687" w:rsidRDefault="003C7F98" w:rsidP="00B91131">
      <w:pPr>
        <w:rPr>
          <w:rFonts w:ascii="Arial" w:eastAsia="Times New Roman" w:hAnsi="Arial" w:cs="Arial"/>
          <w:sz w:val="20"/>
          <w:szCs w:val="20"/>
        </w:rPr>
      </w:pPr>
      <w:r>
        <w:rPr>
          <w:rFonts w:ascii="Arial" w:eastAsia="Times New Roman" w:hAnsi="Arial" w:cs="Arial"/>
          <w:sz w:val="20"/>
          <w:szCs w:val="20"/>
        </w:rPr>
        <w:t xml:space="preserve">   </w:t>
      </w:r>
    </w:p>
    <w:p w14:paraId="7D785AA4" w14:textId="0D3A2F01" w:rsidR="00E161C6" w:rsidRDefault="00E161C6" w:rsidP="00B91131">
      <w:pPr>
        <w:rPr>
          <w:rFonts w:ascii="Segoe UI" w:eastAsia="Times New Roman" w:hAnsi="Segoe UI" w:cs="Segoe UI"/>
          <w:b/>
        </w:rPr>
      </w:pPr>
    </w:p>
    <w:p w14:paraId="4AD26A11" w14:textId="45B6B362" w:rsidR="00460FA7" w:rsidRDefault="00460FA7" w:rsidP="00B91131">
      <w:pPr>
        <w:rPr>
          <w:rFonts w:ascii="Segoe UI" w:eastAsia="Times New Roman" w:hAnsi="Segoe UI" w:cs="Segoe UI"/>
          <w:b/>
        </w:rPr>
      </w:pPr>
      <w:r>
        <w:rPr>
          <w:rFonts w:ascii="Arial" w:hAnsi="Arial" w:cs="Arial"/>
          <w:b/>
          <w:bCs/>
          <w:noProof/>
          <w:color w:val="FF0000"/>
          <w:sz w:val="20"/>
          <w:szCs w:val="20"/>
          <w:lang w:bidi="ar-SA"/>
        </w:rPr>
        <w:drawing>
          <wp:inline distT="0" distB="0" distL="0" distR="0" wp14:anchorId="2E8E8E73" wp14:editId="3C23D532">
            <wp:extent cx="6629400" cy="2842260"/>
            <wp:effectExtent l="0" t="0" r="0" b="0"/>
            <wp:docPr id="2" name="Obrázek 2" descr="C:\Users\tkunova\AppData\Local\Microsoft\Windows\INetCache\Content.Word\GRAF BC Index spotrebitelskych uveru - rijen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kunova\AppData\Local\Microsoft\Windows\INetCache\Content.Word\GRAF BC Index spotrebitelskych uveru - rijen 202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9400" cy="2842260"/>
                    </a:xfrm>
                    <a:prstGeom prst="rect">
                      <a:avLst/>
                    </a:prstGeom>
                    <a:noFill/>
                    <a:ln>
                      <a:noFill/>
                    </a:ln>
                  </pic:spPr>
                </pic:pic>
              </a:graphicData>
            </a:graphic>
          </wp:inline>
        </w:drawing>
      </w:r>
    </w:p>
    <w:p w14:paraId="7C9C9C89" w14:textId="4307F09D" w:rsidR="00DF020C" w:rsidRDefault="00DF020C" w:rsidP="0056501A">
      <w:pPr>
        <w:jc w:val="both"/>
        <w:rPr>
          <w:rFonts w:ascii="Arial" w:hAnsi="Arial" w:cs="Arial"/>
          <w:b/>
          <w:bCs/>
          <w:color w:val="FF0000"/>
          <w:sz w:val="20"/>
          <w:szCs w:val="20"/>
        </w:rPr>
      </w:pPr>
    </w:p>
    <w:p w14:paraId="36634C75" w14:textId="77777777" w:rsidR="00860609" w:rsidRDefault="00860609" w:rsidP="00F5432C">
      <w:pPr>
        <w:jc w:val="both"/>
        <w:rPr>
          <w:rFonts w:ascii="Arial" w:hAnsi="Arial" w:cs="Arial"/>
          <w:b/>
          <w:bCs/>
          <w:sz w:val="20"/>
          <w:szCs w:val="20"/>
        </w:rPr>
      </w:pPr>
    </w:p>
    <w:p w14:paraId="0A7DCA52" w14:textId="16B6F908" w:rsidR="0031712D" w:rsidRDefault="0031712D" w:rsidP="00480982">
      <w:pPr>
        <w:pBdr>
          <w:bottom w:val="single" w:sz="4" w:space="1" w:color="auto"/>
        </w:pBdr>
        <w:jc w:val="both"/>
        <w:rPr>
          <w:rFonts w:ascii="Arial" w:hAnsi="Arial" w:cs="Arial"/>
          <w:sz w:val="20"/>
          <w:szCs w:val="20"/>
        </w:rPr>
      </w:pPr>
      <w:r w:rsidRPr="00F51B95">
        <w:rPr>
          <w:rFonts w:ascii="Arial" w:hAnsi="Arial" w:cs="Arial"/>
          <w:sz w:val="20"/>
          <w:szCs w:val="20"/>
        </w:rPr>
        <w:t>Broker Consulting Index spotřebitelských úvěrů je analytický nástroj, který ukazuje průměrnou úrokovou sazbu 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úvěry, a to bez výjimky všechny. Nemůže tak dojít ke zkreslení informací a Index není závislý na datech dodávaných třetími stranami.</w:t>
      </w:r>
    </w:p>
    <w:p w14:paraId="047C5B29" w14:textId="77777777" w:rsidR="00480982" w:rsidRPr="00F51B95" w:rsidRDefault="00480982" w:rsidP="00480982">
      <w:pPr>
        <w:pBdr>
          <w:bottom w:val="single" w:sz="4" w:space="1" w:color="auto"/>
        </w:pBdr>
        <w:jc w:val="both"/>
        <w:rPr>
          <w:rFonts w:ascii="Arial" w:hAnsi="Arial" w:cs="Arial"/>
          <w:sz w:val="20"/>
          <w:szCs w:val="20"/>
        </w:rPr>
      </w:pPr>
    </w:p>
    <w:p w14:paraId="20CF399F" w14:textId="783A6925" w:rsidR="00EB4785" w:rsidRDefault="0031712D" w:rsidP="00480982">
      <w:pPr>
        <w:tabs>
          <w:tab w:val="left" w:pos="7152"/>
        </w:tabs>
        <w:jc w:val="both"/>
        <w:rPr>
          <w:rFonts w:ascii="Arial" w:hAnsi="Arial" w:cs="Arial"/>
          <w:b/>
          <w:sz w:val="18"/>
          <w:szCs w:val="16"/>
        </w:rPr>
      </w:pPr>
      <w:r>
        <w:rPr>
          <w:rFonts w:ascii="Arial" w:hAnsi="Arial" w:cs="Arial"/>
          <w:b/>
          <w:sz w:val="18"/>
          <w:szCs w:val="16"/>
        </w:rPr>
        <w:tab/>
      </w:r>
    </w:p>
    <w:p w14:paraId="538051E2" w14:textId="4924DFCB" w:rsidR="0031712D" w:rsidRPr="00B244B9" w:rsidRDefault="0031712D" w:rsidP="0031712D">
      <w:pPr>
        <w:jc w:val="both"/>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sidR="002E633F">
        <w:rPr>
          <w:rFonts w:ascii="Arial" w:hAnsi="Arial" w:cs="Arial"/>
          <w:i/>
          <w:color w:val="1D1D1B"/>
          <w:spacing w:val="-8"/>
          <w:w w:val="105"/>
          <w:sz w:val="18"/>
          <w:szCs w:val="16"/>
        </w:rPr>
        <w:t xml:space="preserve">Index </w:t>
      </w:r>
      <w:r w:rsidRPr="00B244B9">
        <w:rPr>
          <w:rFonts w:ascii="Arial" w:hAnsi="Arial" w:cs="Arial"/>
          <w:i/>
          <w:color w:val="1D1D1B"/>
          <w:w w:val="105"/>
          <w:sz w:val="18"/>
          <w:szCs w:val="16"/>
        </w:rPr>
        <w:t>hypoteční</w:t>
      </w:r>
      <w:r w:rsidR="002E633F">
        <w:rPr>
          <w:rFonts w:ascii="Arial" w:hAnsi="Arial" w:cs="Arial"/>
          <w:i/>
          <w:color w:val="1D1D1B"/>
          <w:spacing w:val="-9"/>
          <w:w w:val="105"/>
          <w:sz w:val="18"/>
          <w:szCs w:val="16"/>
        </w:rPr>
        <w:t>ch úvěrů</w:t>
      </w:r>
      <w:r w:rsidRPr="00B244B9">
        <w:rPr>
          <w:rFonts w:ascii="Arial" w:hAnsi="Arial" w:cs="Arial"/>
          <w:i/>
          <w:color w:val="1D1D1B"/>
          <w:w w:val="105"/>
          <w:sz w:val="18"/>
          <w:szCs w:val="16"/>
        </w:rPr>
        <w:t xml:space="preserve">). Více informací najdete též na webu </w:t>
      </w:r>
      <w:r w:rsidRPr="00C42FAF">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312DA4D6" w14:textId="133E170F" w:rsidR="00E11439" w:rsidRDefault="00E11439" w:rsidP="0031712D">
      <w:pPr>
        <w:tabs>
          <w:tab w:val="center" w:pos="5225"/>
        </w:tabs>
        <w:jc w:val="both"/>
        <w:rPr>
          <w:rFonts w:ascii="Arial" w:hAnsi="Arial" w:cs="Arial"/>
          <w:b/>
          <w:sz w:val="18"/>
        </w:rPr>
      </w:pPr>
    </w:p>
    <w:p w14:paraId="4E93FC12" w14:textId="77777777" w:rsidR="00E11439" w:rsidRDefault="00E11439" w:rsidP="0031712D">
      <w:pPr>
        <w:tabs>
          <w:tab w:val="center" w:pos="5225"/>
        </w:tabs>
        <w:jc w:val="both"/>
        <w:rPr>
          <w:rFonts w:ascii="Arial" w:hAnsi="Arial" w:cs="Arial"/>
          <w:b/>
          <w:sz w:val="18"/>
        </w:rPr>
      </w:pPr>
    </w:p>
    <w:p w14:paraId="2BD1B3AF" w14:textId="7269349B" w:rsidR="0031712D" w:rsidRPr="00347557" w:rsidRDefault="0031712D" w:rsidP="0031712D">
      <w:pPr>
        <w:tabs>
          <w:tab w:val="center" w:pos="5225"/>
        </w:tabs>
        <w:jc w:val="both"/>
        <w:rPr>
          <w:rFonts w:ascii="Arial" w:hAnsi="Arial" w:cs="Arial"/>
          <w:b/>
          <w:sz w:val="18"/>
        </w:rPr>
      </w:pPr>
      <w:r>
        <w:rPr>
          <w:rFonts w:ascii="Arial" w:hAnsi="Arial" w:cs="Arial"/>
          <w:b/>
          <w:sz w:val="18"/>
        </w:rPr>
        <w:t>Proč je dobré I</w:t>
      </w:r>
      <w:r w:rsidRPr="00347557">
        <w:rPr>
          <w:rFonts w:ascii="Arial" w:hAnsi="Arial" w:cs="Arial"/>
          <w:b/>
          <w:sz w:val="18"/>
        </w:rPr>
        <w:t>ndex sledovat</w:t>
      </w:r>
      <w:r>
        <w:rPr>
          <w:rFonts w:ascii="Arial" w:hAnsi="Arial" w:cs="Arial"/>
          <w:b/>
          <w:sz w:val="18"/>
        </w:rPr>
        <w:tab/>
      </w:r>
    </w:p>
    <w:p w14:paraId="445F0218" w14:textId="77777777" w:rsidR="00480982" w:rsidRDefault="0031712D" w:rsidP="0031712D">
      <w:pPr>
        <w:jc w:val="both"/>
        <w:rPr>
          <w:rFonts w:ascii="Arial" w:hAnsi="Arial" w:cs="Arial"/>
          <w:sz w:val="18"/>
        </w:rPr>
      </w:pPr>
      <w:r w:rsidRPr="00347557">
        <w:rPr>
          <w:rFonts w:ascii="Arial" w:hAnsi="Arial" w:cs="Arial"/>
          <w:sz w:val="18"/>
        </w:rPr>
        <w:t xml:space="preserve">Broker Consulting Index spotřebitelských úvěrů zachycuje vývoj úrokových sazeb u spotřebitelských bankovních úvěrů. Je praktickým indikátorem toho, jak se pro českou veřejnost úvěry vyvíjejí z hlediska úrokových sazeb, a tedy i výše splátek na určitou </w:t>
      </w:r>
      <w:r w:rsidRPr="00347557">
        <w:rPr>
          <w:rFonts w:ascii="Arial" w:hAnsi="Arial" w:cs="Arial"/>
          <w:sz w:val="18"/>
        </w:rPr>
        <w:lastRenderedPageBreak/>
        <w:t xml:space="preserve">půjčenou sumu. Lidé si tyto typy úvěrů berou, aby financovali různé potřeby. Od dovolené přes nový telefon až po překlenutí nějaké </w:t>
      </w:r>
    </w:p>
    <w:p w14:paraId="26E6F8FF" w14:textId="50075544" w:rsidR="0031712D" w:rsidRDefault="0031712D" w:rsidP="0031712D">
      <w:pPr>
        <w:jc w:val="both"/>
        <w:rPr>
          <w:sz w:val="20"/>
        </w:rPr>
      </w:pPr>
      <w:r w:rsidRPr="00347557">
        <w:rPr>
          <w:rFonts w:ascii="Arial" w:hAnsi="Arial" w:cs="Arial"/>
          <w:sz w:val="18"/>
        </w:rPr>
        <w:t>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Pr>
          <w:sz w:val="20"/>
        </w:rPr>
        <w:tab/>
      </w:r>
    </w:p>
    <w:p w14:paraId="05EB1FDD" w14:textId="77777777" w:rsidR="0031712D" w:rsidRDefault="0031712D" w:rsidP="0031712D">
      <w:pPr>
        <w:jc w:val="both"/>
        <w:rPr>
          <w:sz w:val="20"/>
        </w:rPr>
      </w:pPr>
    </w:p>
    <w:p w14:paraId="45BCCA66" w14:textId="77777777" w:rsidR="0031712D" w:rsidRDefault="0031712D" w:rsidP="0031712D">
      <w:pPr>
        <w:jc w:val="both"/>
        <w:rPr>
          <w:sz w:val="20"/>
        </w:rPr>
      </w:pPr>
    </w:p>
    <w:p w14:paraId="76AD7741" w14:textId="77777777" w:rsidR="0031712D" w:rsidRPr="00D60D98" w:rsidRDefault="0031712D" w:rsidP="0031712D">
      <w:pPr>
        <w:jc w:val="both"/>
        <w:rPr>
          <w:rFonts w:ascii="Arial" w:eastAsia="Calibri" w:hAnsi="Arial" w:cs="Arial"/>
          <w:b/>
          <w:bCs/>
          <w:noProof/>
          <w:sz w:val="20"/>
          <w:szCs w:val="20"/>
        </w:rPr>
      </w:pPr>
    </w:p>
    <w:p w14:paraId="77C4F9DD" w14:textId="77777777" w:rsidR="0031712D" w:rsidRDefault="0031712D" w:rsidP="0031712D">
      <w:pPr>
        <w:rPr>
          <w:rFonts w:ascii="Arial" w:eastAsia="Calibri" w:hAnsi="Arial" w:cs="Arial"/>
          <w:b/>
          <w:bCs/>
          <w:noProof/>
          <w:sz w:val="20"/>
          <w:szCs w:val="20"/>
        </w:rPr>
      </w:pPr>
      <w:r w:rsidRPr="00D60D98">
        <w:rPr>
          <w:rFonts w:ascii="Arial" w:eastAsia="Calibri" w:hAnsi="Arial" w:cs="Arial"/>
          <w:b/>
          <w:bCs/>
          <w:noProof/>
          <w:sz w:val="20"/>
          <w:szCs w:val="20"/>
        </w:rPr>
        <w:t>Kontakt pro média:</w:t>
      </w:r>
    </w:p>
    <w:p w14:paraId="5AB279DC" w14:textId="77777777" w:rsidR="0031712D" w:rsidRPr="002A6FA3" w:rsidRDefault="0031712D" w:rsidP="0031712D">
      <w:pPr>
        <w:rPr>
          <w:rFonts w:ascii="Arial" w:eastAsia="Calibri" w:hAnsi="Arial" w:cs="Arial"/>
          <w:b/>
          <w:bCs/>
          <w:noProof/>
          <w:sz w:val="18"/>
          <w:szCs w:val="18"/>
          <w:lang w:bidi="ar-SA"/>
        </w:rPr>
      </w:pPr>
      <w:r>
        <w:rPr>
          <w:sz w:val="20"/>
        </w:rPr>
        <w:br/>
      </w:r>
      <w:r w:rsidRPr="002A6FA3">
        <w:rPr>
          <w:rFonts w:ascii="Arial" w:eastAsia="Calibri" w:hAnsi="Arial" w:cs="Arial"/>
          <w:b/>
          <w:bCs/>
          <w:noProof/>
          <w:sz w:val="18"/>
          <w:szCs w:val="18"/>
        </w:rPr>
        <w:t>Tereza Kunová</w:t>
      </w:r>
    </w:p>
    <w:p w14:paraId="0BF9E064" w14:textId="77777777" w:rsidR="0031712D" w:rsidRPr="002A6FA3" w:rsidRDefault="0031712D" w:rsidP="0031712D">
      <w:pPr>
        <w:spacing w:after="225"/>
        <w:rPr>
          <w:rFonts w:ascii="Arial" w:eastAsia="Calibri" w:hAnsi="Arial" w:cs="Arial"/>
          <w:noProof/>
          <w:sz w:val="18"/>
          <w:szCs w:val="18"/>
        </w:rPr>
      </w:pPr>
      <w:r w:rsidRPr="002A6FA3">
        <w:rPr>
          <w:rFonts w:ascii="Arial" w:eastAsia="Calibri" w:hAnsi="Arial" w:cs="Arial"/>
          <w:noProof/>
          <w:sz w:val="18"/>
          <w:szCs w:val="18"/>
        </w:rPr>
        <w:t>Specialistka PR a externí komunikace</w:t>
      </w:r>
    </w:p>
    <w:p w14:paraId="0C220C49" w14:textId="77777777" w:rsidR="0031712D" w:rsidRPr="0056501A" w:rsidRDefault="0031712D" w:rsidP="0031712D">
      <w:pPr>
        <w:rPr>
          <w:rFonts w:ascii="Arial" w:eastAsia="Calibri" w:hAnsi="Arial" w:cs="Arial"/>
          <w:bCs/>
          <w:noProof/>
          <w:sz w:val="18"/>
          <w:szCs w:val="18"/>
        </w:rPr>
      </w:pPr>
      <w:r w:rsidRPr="0056501A">
        <w:rPr>
          <w:rFonts w:ascii="Arial" w:eastAsia="Calibri" w:hAnsi="Arial" w:cs="Arial"/>
          <w:bCs/>
          <w:noProof/>
          <w:sz w:val="18"/>
          <w:szCs w:val="18"/>
        </w:rPr>
        <w:t>Broker Consulting, a.s.,</w:t>
      </w:r>
    </w:p>
    <w:p w14:paraId="113E0997"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Office Park Nové Butovice (Budova B)</w:t>
      </w:r>
      <w:r w:rsidRPr="002A6FA3">
        <w:rPr>
          <w:rFonts w:ascii="Arial" w:eastAsia="Calibri" w:hAnsi="Arial" w:cs="Arial"/>
          <w:noProof/>
          <w:sz w:val="18"/>
          <w:szCs w:val="18"/>
        </w:rPr>
        <w:br/>
        <w:t>Bucharova 1423/6, 158 00 Praha 5</w:t>
      </w:r>
    </w:p>
    <w:p w14:paraId="14029AC2"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mobil: +420 731 537 716</w:t>
      </w:r>
    </w:p>
    <w:p w14:paraId="42F7C118"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 xml:space="preserve">e-mail: </w:t>
      </w:r>
      <w:hyperlink r:id="rId25" w:history="1">
        <w:r w:rsidRPr="002A6FA3">
          <w:rPr>
            <w:rStyle w:val="Hypertextovodkaz"/>
            <w:rFonts w:ascii="Arial" w:eastAsia="Calibri" w:hAnsi="Arial" w:cs="Arial"/>
            <w:noProof/>
            <w:sz w:val="18"/>
            <w:szCs w:val="18"/>
          </w:rPr>
          <w:t>tereza.kunova@bcas.cz</w:t>
        </w:r>
      </w:hyperlink>
      <w:r w:rsidRPr="002A6FA3">
        <w:rPr>
          <w:rFonts w:ascii="Arial" w:eastAsia="Calibri" w:hAnsi="Arial" w:cs="Arial"/>
          <w:noProof/>
          <w:sz w:val="18"/>
          <w:szCs w:val="18"/>
        </w:rPr>
        <w:t xml:space="preserve"> </w:t>
      </w:r>
    </w:p>
    <w:p w14:paraId="35B78D89" w14:textId="77777777" w:rsidR="0031712D" w:rsidRPr="009F59EE" w:rsidRDefault="0031712D" w:rsidP="0031712D">
      <w:pPr>
        <w:jc w:val="both"/>
        <w:rPr>
          <w:sz w:val="20"/>
        </w:rPr>
      </w:pPr>
    </w:p>
    <w:p w14:paraId="35F81D03" w14:textId="77777777" w:rsidR="0031712D" w:rsidRDefault="0031712D" w:rsidP="00F5432C">
      <w:pPr>
        <w:jc w:val="both"/>
        <w:rPr>
          <w:rFonts w:ascii="Arial" w:hAnsi="Arial" w:cs="Arial"/>
          <w:b/>
          <w:bCs/>
          <w:color w:val="FF0000"/>
          <w:sz w:val="20"/>
          <w:szCs w:val="20"/>
        </w:rPr>
      </w:pPr>
    </w:p>
    <w:p w14:paraId="703D546A" w14:textId="77777777" w:rsidR="002A6FA3" w:rsidRDefault="002A6FA3" w:rsidP="00A712B2">
      <w:pPr>
        <w:jc w:val="both"/>
        <w:rPr>
          <w:rFonts w:ascii="Arial" w:hAnsi="Arial" w:cs="Arial"/>
          <w:sz w:val="20"/>
          <w:szCs w:val="20"/>
        </w:rPr>
      </w:pPr>
    </w:p>
    <w:sectPr w:rsidR="002A6FA3"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36E0B1" w14:textId="77777777" w:rsidR="004C222D" w:rsidRDefault="004C222D">
      <w:r>
        <w:separator/>
      </w:r>
    </w:p>
  </w:endnote>
  <w:endnote w:type="continuationSeparator" w:id="0">
    <w:p w14:paraId="4B185417" w14:textId="77777777" w:rsidR="004C222D" w:rsidRDefault="004C2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4C222D"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DF7D1B"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4C222D"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DF7D1B"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4C222D"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DF7D1B"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EEBEF3" w14:textId="77777777" w:rsidR="004C222D" w:rsidRDefault="004C222D">
      <w:r>
        <w:separator/>
      </w:r>
    </w:p>
  </w:footnote>
  <w:footnote w:type="continuationSeparator" w:id="0">
    <w:p w14:paraId="4D770827" w14:textId="77777777" w:rsidR="004C222D" w:rsidRDefault="004C22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17A80"/>
    <w:rsid w:val="00020EC7"/>
    <w:rsid w:val="00022715"/>
    <w:rsid w:val="00024AC6"/>
    <w:rsid w:val="00026F23"/>
    <w:rsid w:val="000277AC"/>
    <w:rsid w:val="00032D94"/>
    <w:rsid w:val="000374D7"/>
    <w:rsid w:val="000400E4"/>
    <w:rsid w:val="00045B39"/>
    <w:rsid w:val="0005423A"/>
    <w:rsid w:val="000611E3"/>
    <w:rsid w:val="000766E7"/>
    <w:rsid w:val="00081616"/>
    <w:rsid w:val="000853D4"/>
    <w:rsid w:val="0009776B"/>
    <w:rsid w:val="000B0D84"/>
    <w:rsid w:val="000B2F39"/>
    <w:rsid w:val="000B5339"/>
    <w:rsid w:val="000C1853"/>
    <w:rsid w:val="000C4C77"/>
    <w:rsid w:val="000D14E2"/>
    <w:rsid w:val="000E3D86"/>
    <w:rsid w:val="000F1EC4"/>
    <w:rsid w:val="000F6249"/>
    <w:rsid w:val="001069A1"/>
    <w:rsid w:val="00111C28"/>
    <w:rsid w:val="00112079"/>
    <w:rsid w:val="00114F7B"/>
    <w:rsid w:val="00123939"/>
    <w:rsid w:val="0013044E"/>
    <w:rsid w:val="00131A69"/>
    <w:rsid w:val="00137003"/>
    <w:rsid w:val="0013717C"/>
    <w:rsid w:val="00143EFE"/>
    <w:rsid w:val="00156082"/>
    <w:rsid w:val="00161D10"/>
    <w:rsid w:val="001675AF"/>
    <w:rsid w:val="00170556"/>
    <w:rsid w:val="001767A5"/>
    <w:rsid w:val="00180051"/>
    <w:rsid w:val="00192716"/>
    <w:rsid w:val="00192C2A"/>
    <w:rsid w:val="00193550"/>
    <w:rsid w:val="00194C95"/>
    <w:rsid w:val="001A54DD"/>
    <w:rsid w:val="001B501B"/>
    <w:rsid w:val="001D015A"/>
    <w:rsid w:val="001D3DFC"/>
    <w:rsid w:val="001D4EA8"/>
    <w:rsid w:val="001E22F1"/>
    <w:rsid w:val="001E3FBF"/>
    <w:rsid w:val="001E4209"/>
    <w:rsid w:val="001F25C4"/>
    <w:rsid w:val="001F2BE0"/>
    <w:rsid w:val="001F3CF1"/>
    <w:rsid w:val="001F7194"/>
    <w:rsid w:val="001F71BA"/>
    <w:rsid w:val="00200B65"/>
    <w:rsid w:val="002141AF"/>
    <w:rsid w:val="0023469F"/>
    <w:rsid w:val="002368F3"/>
    <w:rsid w:val="002404A1"/>
    <w:rsid w:val="00241313"/>
    <w:rsid w:val="00242D4D"/>
    <w:rsid w:val="0024551C"/>
    <w:rsid w:val="0025264B"/>
    <w:rsid w:val="0025428A"/>
    <w:rsid w:val="00255182"/>
    <w:rsid w:val="00263C8C"/>
    <w:rsid w:val="002645E4"/>
    <w:rsid w:val="00270DB3"/>
    <w:rsid w:val="002A3F19"/>
    <w:rsid w:val="002A6FA3"/>
    <w:rsid w:val="002A7325"/>
    <w:rsid w:val="002C0240"/>
    <w:rsid w:val="002C4A25"/>
    <w:rsid w:val="002D1619"/>
    <w:rsid w:val="002E633F"/>
    <w:rsid w:val="002F002B"/>
    <w:rsid w:val="002F485A"/>
    <w:rsid w:val="002F7EC2"/>
    <w:rsid w:val="003028DB"/>
    <w:rsid w:val="00306FE1"/>
    <w:rsid w:val="00307E95"/>
    <w:rsid w:val="00310BEB"/>
    <w:rsid w:val="0031287A"/>
    <w:rsid w:val="003128F8"/>
    <w:rsid w:val="0031712D"/>
    <w:rsid w:val="00320455"/>
    <w:rsid w:val="00321E19"/>
    <w:rsid w:val="003247B0"/>
    <w:rsid w:val="00330918"/>
    <w:rsid w:val="0034184F"/>
    <w:rsid w:val="00342F85"/>
    <w:rsid w:val="00347557"/>
    <w:rsid w:val="00355366"/>
    <w:rsid w:val="00356752"/>
    <w:rsid w:val="003629B6"/>
    <w:rsid w:val="00370C35"/>
    <w:rsid w:val="003721AD"/>
    <w:rsid w:val="0037300C"/>
    <w:rsid w:val="00383DC5"/>
    <w:rsid w:val="00385EED"/>
    <w:rsid w:val="00390B58"/>
    <w:rsid w:val="00392024"/>
    <w:rsid w:val="003A1549"/>
    <w:rsid w:val="003A375A"/>
    <w:rsid w:val="003A43AB"/>
    <w:rsid w:val="003A6435"/>
    <w:rsid w:val="003B0E4F"/>
    <w:rsid w:val="003C0CBE"/>
    <w:rsid w:val="003C5664"/>
    <w:rsid w:val="003C7F98"/>
    <w:rsid w:val="003D1987"/>
    <w:rsid w:val="003F324C"/>
    <w:rsid w:val="003F7018"/>
    <w:rsid w:val="003F79EC"/>
    <w:rsid w:val="004041EF"/>
    <w:rsid w:val="004075C9"/>
    <w:rsid w:val="004116FD"/>
    <w:rsid w:val="0042193A"/>
    <w:rsid w:val="00435342"/>
    <w:rsid w:val="00445D0A"/>
    <w:rsid w:val="00454843"/>
    <w:rsid w:val="00457FFE"/>
    <w:rsid w:val="00460FA7"/>
    <w:rsid w:val="00461BF2"/>
    <w:rsid w:val="004627B9"/>
    <w:rsid w:val="004678E9"/>
    <w:rsid w:val="00473E24"/>
    <w:rsid w:val="00480982"/>
    <w:rsid w:val="00486655"/>
    <w:rsid w:val="004B2DF6"/>
    <w:rsid w:val="004B5797"/>
    <w:rsid w:val="004C222D"/>
    <w:rsid w:val="004C3F71"/>
    <w:rsid w:val="004D5CC6"/>
    <w:rsid w:val="004F6195"/>
    <w:rsid w:val="0050659B"/>
    <w:rsid w:val="005153F7"/>
    <w:rsid w:val="00515952"/>
    <w:rsid w:val="005224C1"/>
    <w:rsid w:val="0053153F"/>
    <w:rsid w:val="00531C9F"/>
    <w:rsid w:val="005361AF"/>
    <w:rsid w:val="00536954"/>
    <w:rsid w:val="00540606"/>
    <w:rsid w:val="00541870"/>
    <w:rsid w:val="005436EC"/>
    <w:rsid w:val="00544A37"/>
    <w:rsid w:val="00545971"/>
    <w:rsid w:val="00554D18"/>
    <w:rsid w:val="0056501A"/>
    <w:rsid w:val="00573886"/>
    <w:rsid w:val="00577D19"/>
    <w:rsid w:val="005907CD"/>
    <w:rsid w:val="005A37E5"/>
    <w:rsid w:val="005A4EB8"/>
    <w:rsid w:val="005A5BBA"/>
    <w:rsid w:val="005A5F08"/>
    <w:rsid w:val="005B31D7"/>
    <w:rsid w:val="005C150C"/>
    <w:rsid w:val="005D52F3"/>
    <w:rsid w:val="006135FD"/>
    <w:rsid w:val="006166CE"/>
    <w:rsid w:val="006218E4"/>
    <w:rsid w:val="0062747C"/>
    <w:rsid w:val="0064160C"/>
    <w:rsid w:val="006509E8"/>
    <w:rsid w:val="0066135D"/>
    <w:rsid w:val="00664867"/>
    <w:rsid w:val="00667012"/>
    <w:rsid w:val="006768F0"/>
    <w:rsid w:val="00677078"/>
    <w:rsid w:val="00683F9A"/>
    <w:rsid w:val="006859AC"/>
    <w:rsid w:val="0068617E"/>
    <w:rsid w:val="006902C0"/>
    <w:rsid w:val="00690415"/>
    <w:rsid w:val="00691527"/>
    <w:rsid w:val="006939E7"/>
    <w:rsid w:val="006A2F6C"/>
    <w:rsid w:val="006A3BE2"/>
    <w:rsid w:val="006C5ED3"/>
    <w:rsid w:val="006C61E8"/>
    <w:rsid w:val="006D65EC"/>
    <w:rsid w:val="006E26DC"/>
    <w:rsid w:val="006E6A2F"/>
    <w:rsid w:val="006F32FB"/>
    <w:rsid w:val="00705D83"/>
    <w:rsid w:val="00710E0C"/>
    <w:rsid w:val="0072112F"/>
    <w:rsid w:val="00724267"/>
    <w:rsid w:val="00725BF5"/>
    <w:rsid w:val="00743E6A"/>
    <w:rsid w:val="0076280C"/>
    <w:rsid w:val="00771B91"/>
    <w:rsid w:val="007725B8"/>
    <w:rsid w:val="00772FF0"/>
    <w:rsid w:val="007815BB"/>
    <w:rsid w:val="007824F4"/>
    <w:rsid w:val="00784109"/>
    <w:rsid w:val="00785FC5"/>
    <w:rsid w:val="0078631B"/>
    <w:rsid w:val="00791A2B"/>
    <w:rsid w:val="00792EE9"/>
    <w:rsid w:val="0079572A"/>
    <w:rsid w:val="007969EF"/>
    <w:rsid w:val="007A1121"/>
    <w:rsid w:val="007A1122"/>
    <w:rsid w:val="007A15A6"/>
    <w:rsid w:val="007A7C7B"/>
    <w:rsid w:val="007B152D"/>
    <w:rsid w:val="007B358E"/>
    <w:rsid w:val="007D14AE"/>
    <w:rsid w:val="007E5614"/>
    <w:rsid w:val="007F2DE8"/>
    <w:rsid w:val="007F4493"/>
    <w:rsid w:val="0080323F"/>
    <w:rsid w:val="0081387C"/>
    <w:rsid w:val="0083053E"/>
    <w:rsid w:val="00831B5E"/>
    <w:rsid w:val="00832F5B"/>
    <w:rsid w:val="00841AC4"/>
    <w:rsid w:val="00845A34"/>
    <w:rsid w:val="00856D3C"/>
    <w:rsid w:val="00860609"/>
    <w:rsid w:val="00874C1A"/>
    <w:rsid w:val="00883A3E"/>
    <w:rsid w:val="0088579E"/>
    <w:rsid w:val="00885B2F"/>
    <w:rsid w:val="00891E25"/>
    <w:rsid w:val="008926E5"/>
    <w:rsid w:val="008926F3"/>
    <w:rsid w:val="008A04D3"/>
    <w:rsid w:val="008C1795"/>
    <w:rsid w:val="008C2254"/>
    <w:rsid w:val="008C3938"/>
    <w:rsid w:val="008C4B0D"/>
    <w:rsid w:val="008E1286"/>
    <w:rsid w:val="008E19F3"/>
    <w:rsid w:val="008F6AAF"/>
    <w:rsid w:val="00906E67"/>
    <w:rsid w:val="00915ADA"/>
    <w:rsid w:val="0092097A"/>
    <w:rsid w:val="009222C9"/>
    <w:rsid w:val="00932625"/>
    <w:rsid w:val="009344C2"/>
    <w:rsid w:val="0094705C"/>
    <w:rsid w:val="00957B41"/>
    <w:rsid w:val="009631E0"/>
    <w:rsid w:val="009A52BA"/>
    <w:rsid w:val="009A69B1"/>
    <w:rsid w:val="009A700C"/>
    <w:rsid w:val="009C0ECA"/>
    <w:rsid w:val="009C45BA"/>
    <w:rsid w:val="009D7493"/>
    <w:rsid w:val="009E317D"/>
    <w:rsid w:val="009E31C0"/>
    <w:rsid w:val="009E3B52"/>
    <w:rsid w:val="009F2CB2"/>
    <w:rsid w:val="009F59EE"/>
    <w:rsid w:val="00A069E2"/>
    <w:rsid w:val="00A07639"/>
    <w:rsid w:val="00A10289"/>
    <w:rsid w:val="00A11C90"/>
    <w:rsid w:val="00A1395B"/>
    <w:rsid w:val="00A16E82"/>
    <w:rsid w:val="00A252BA"/>
    <w:rsid w:val="00A27A7B"/>
    <w:rsid w:val="00A36D79"/>
    <w:rsid w:val="00A41EA4"/>
    <w:rsid w:val="00A44FE0"/>
    <w:rsid w:val="00A4618A"/>
    <w:rsid w:val="00A712B2"/>
    <w:rsid w:val="00A7796E"/>
    <w:rsid w:val="00AA6E6D"/>
    <w:rsid w:val="00AA79D9"/>
    <w:rsid w:val="00AB50FF"/>
    <w:rsid w:val="00AC4BEC"/>
    <w:rsid w:val="00AC614D"/>
    <w:rsid w:val="00AD1F39"/>
    <w:rsid w:val="00AF042F"/>
    <w:rsid w:val="00B11974"/>
    <w:rsid w:val="00B12CF8"/>
    <w:rsid w:val="00B244B9"/>
    <w:rsid w:val="00B24559"/>
    <w:rsid w:val="00B27178"/>
    <w:rsid w:val="00B310C3"/>
    <w:rsid w:val="00B42229"/>
    <w:rsid w:val="00B43ABC"/>
    <w:rsid w:val="00B51125"/>
    <w:rsid w:val="00B52CDF"/>
    <w:rsid w:val="00B60D60"/>
    <w:rsid w:val="00B65687"/>
    <w:rsid w:val="00B65A3B"/>
    <w:rsid w:val="00B67AF0"/>
    <w:rsid w:val="00B83D7B"/>
    <w:rsid w:val="00B91131"/>
    <w:rsid w:val="00B94E88"/>
    <w:rsid w:val="00B95BB2"/>
    <w:rsid w:val="00B95EBA"/>
    <w:rsid w:val="00BA04AB"/>
    <w:rsid w:val="00BA23D8"/>
    <w:rsid w:val="00BB4D49"/>
    <w:rsid w:val="00BB6439"/>
    <w:rsid w:val="00BB675F"/>
    <w:rsid w:val="00BC3E08"/>
    <w:rsid w:val="00BD17B0"/>
    <w:rsid w:val="00BD5A47"/>
    <w:rsid w:val="00BD5FB6"/>
    <w:rsid w:val="00C03192"/>
    <w:rsid w:val="00C23E32"/>
    <w:rsid w:val="00C251C4"/>
    <w:rsid w:val="00C314C1"/>
    <w:rsid w:val="00C31917"/>
    <w:rsid w:val="00C40571"/>
    <w:rsid w:val="00C427DA"/>
    <w:rsid w:val="00C42FAF"/>
    <w:rsid w:val="00C863A3"/>
    <w:rsid w:val="00C864DC"/>
    <w:rsid w:val="00C94EEA"/>
    <w:rsid w:val="00CA1722"/>
    <w:rsid w:val="00CA7673"/>
    <w:rsid w:val="00CB1227"/>
    <w:rsid w:val="00CB1255"/>
    <w:rsid w:val="00CB18B1"/>
    <w:rsid w:val="00CB38CA"/>
    <w:rsid w:val="00CB66A2"/>
    <w:rsid w:val="00CB6F2B"/>
    <w:rsid w:val="00CC1067"/>
    <w:rsid w:val="00CC2EC2"/>
    <w:rsid w:val="00CD3324"/>
    <w:rsid w:val="00CD6162"/>
    <w:rsid w:val="00CE6C6E"/>
    <w:rsid w:val="00D01832"/>
    <w:rsid w:val="00D04527"/>
    <w:rsid w:val="00D21C96"/>
    <w:rsid w:val="00D30854"/>
    <w:rsid w:val="00D31127"/>
    <w:rsid w:val="00D366B5"/>
    <w:rsid w:val="00D4052C"/>
    <w:rsid w:val="00D4539F"/>
    <w:rsid w:val="00D472C6"/>
    <w:rsid w:val="00D6041B"/>
    <w:rsid w:val="00D60D98"/>
    <w:rsid w:val="00D61018"/>
    <w:rsid w:val="00D80B6D"/>
    <w:rsid w:val="00D80CAD"/>
    <w:rsid w:val="00D8513A"/>
    <w:rsid w:val="00D85BBB"/>
    <w:rsid w:val="00D90628"/>
    <w:rsid w:val="00D92D49"/>
    <w:rsid w:val="00D930E7"/>
    <w:rsid w:val="00D93D7A"/>
    <w:rsid w:val="00D9690A"/>
    <w:rsid w:val="00DA08E6"/>
    <w:rsid w:val="00DA50BA"/>
    <w:rsid w:val="00DA7B87"/>
    <w:rsid w:val="00DB63D9"/>
    <w:rsid w:val="00DB7E77"/>
    <w:rsid w:val="00DC30D0"/>
    <w:rsid w:val="00DF020C"/>
    <w:rsid w:val="00DF7D1B"/>
    <w:rsid w:val="00E00DC6"/>
    <w:rsid w:val="00E01A0A"/>
    <w:rsid w:val="00E058A3"/>
    <w:rsid w:val="00E11439"/>
    <w:rsid w:val="00E151F3"/>
    <w:rsid w:val="00E161C6"/>
    <w:rsid w:val="00E17539"/>
    <w:rsid w:val="00E26CF0"/>
    <w:rsid w:val="00E31346"/>
    <w:rsid w:val="00E376F8"/>
    <w:rsid w:val="00E40550"/>
    <w:rsid w:val="00E43F59"/>
    <w:rsid w:val="00E57F9B"/>
    <w:rsid w:val="00E6726D"/>
    <w:rsid w:val="00E81433"/>
    <w:rsid w:val="00E81C95"/>
    <w:rsid w:val="00E852A3"/>
    <w:rsid w:val="00E93958"/>
    <w:rsid w:val="00EA01CC"/>
    <w:rsid w:val="00EA0C1C"/>
    <w:rsid w:val="00EA3819"/>
    <w:rsid w:val="00EA477A"/>
    <w:rsid w:val="00EB4785"/>
    <w:rsid w:val="00EB716B"/>
    <w:rsid w:val="00EC7F0E"/>
    <w:rsid w:val="00ED2D1F"/>
    <w:rsid w:val="00ED58E9"/>
    <w:rsid w:val="00ED79D6"/>
    <w:rsid w:val="00EE1831"/>
    <w:rsid w:val="00EE6922"/>
    <w:rsid w:val="00EF1AE7"/>
    <w:rsid w:val="00EF2F7C"/>
    <w:rsid w:val="00F101B3"/>
    <w:rsid w:val="00F13FDA"/>
    <w:rsid w:val="00F14982"/>
    <w:rsid w:val="00F20D55"/>
    <w:rsid w:val="00F250B8"/>
    <w:rsid w:val="00F2598D"/>
    <w:rsid w:val="00F31B7E"/>
    <w:rsid w:val="00F336A2"/>
    <w:rsid w:val="00F44AEB"/>
    <w:rsid w:val="00F45620"/>
    <w:rsid w:val="00F51B95"/>
    <w:rsid w:val="00F5432C"/>
    <w:rsid w:val="00F5470D"/>
    <w:rsid w:val="00F77D7D"/>
    <w:rsid w:val="00F82DDB"/>
    <w:rsid w:val="00F83CDB"/>
    <w:rsid w:val="00F9173C"/>
    <w:rsid w:val="00FA1C73"/>
    <w:rsid w:val="00FB18D0"/>
    <w:rsid w:val="00FB2ED6"/>
    <w:rsid w:val="00FB53F1"/>
    <w:rsid w:val="00FC23FE"/>
    <w:rsid w:val="00FC2522"/>
    <w:rsid w:val="00FC5B56"/>
    <w:rsid w:val="00FD4B12"/>
    <w:rsid w:val="00FE10BB"/>
    <w:rsid w:val="00FE3038"/>
    <w:rsid w:val="00FE43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tereza.kun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8465C-F4D3-4EC7-BB11-99AECB3EC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1154</TotalTime>
  <Pages>1</Pages>
  <Words>787</Words>
  <Characters>4646</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73</cp:revision>
  <dcterms:created xsi:type="dcterms:W3CDTF">2021-05-26T15:36:00Z</dcterms:created>
  <dcterms:modified xsi:type="dcterms:W3CDTF">2021-11-29T09:59:00Z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