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color w:val="FF0000"/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b/>
          <w:sz w:val="20"/>
          <w:szCs w:val="20"/>
        </w:rPr>
      </w:sdtEndPr>
      <w:sdtContent>
        <w:p w14:paraId="718E6546" w14:textId="1251B28C" w:rsidR="00D80B6D" w:rsidRPr="00886F0E" w:rsidRDefault="00D80B6D">
          <w:pPr>
            <w:rPr>
              <w:color w:val="FF0000"/>
              <w:highlight w:val="yellow"/>
            </w:rPr>
          </w:pPr>
        </w:p>
        <w:p w14:paraId="7ED014A1" w14:textId="77777777" w:rsidR="00D80B6D" w:rsidRPr="00D32EE1" w:rsidRDefault="00D80B6D" w:rsidP="00D80B6D">
          <w:pPr>
            <w:pStyle w:val="Nadpis3"/>
            <w:spacing w:before="10"/>
            <w:rPr>
              <w:rFonts w:ascii="Arial" w:hAnsi="Arial" w:cs="Arial"/>
              <w:highlight w:val="yellow"/>
            </w:rPr>
          </w:pPr>
        </w:p>
        <w:p w14:paraId="0FB45B67" w14:textId="77777777" w:rsidR="00D80B6D" w:rsidRPr="00D32EE1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32EE1">
            <w:rPr>
              <w:rFonts w:ascii="Arial" w:hAnsi="Arial" w:cs="Arial"/>
              <w:sz w:val="24"/>
            </w:rPr>
            <w:t xml:space="preserve">INDEX HYPOTEČNÍCH ÚVĚRŮ | FIXINDEX </w:t>
          </w:r>
        </w:p>
        <w:p w14:paraId="03C4DE47" w14:textId="1DAD08F6" w:rsidR="0009776B" w:rsidRPr="00D32EE1" w:rsidRDefault="00D80B6D" w:rsidP="00A02308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32EE1">
            <w:rPr>
              <w:rFonts w:ascii="Arial" w:hAnsi="Arial" w:cs="Arial"/>
              <w:b/>
              <w:sz w:val="24"/>
            </w:rPr>
            <w:t>INDEX PODÍLOVÝCH FONDŮ</w:t>
          </w:r>
          <w:r w:rsidRPr="00D32EE1">
            <w:rPr>
              <w:rFonts w:ascii="Arial" w:hAnsi="Arial" w:cs="Arial"/>
              <w:sz w:val="24"/>
            </w:rPr>
            <w:t xml:space="preserve"> </w:t>
          </w:r>
        </w:p>
        <w:p w14:paraId="32900BCE" w14:textId="5BB9437C" w:rsidR="00D80B6D" w:rsidRPr="00D32EE1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32EE1">
            <w:rPr>
              <w:rFonts w:ascii="Arial" w:hAnsi="Arial" w:cs="Arial"/>
              <w:sz w:val="24"/>
            </w:rPr>
            <w:t>P</w:t>
          </w:r>
          <w:r w:rsidR="00A02308" w:rsidRPr="00D32EE1">
            <w:rPr>
              <w:rFonts w:ascii="Arial" w:hAnsi="Arial" w:cs="Arial"/>
              <w:sz w:val="24"/>
            </w:rPr>
            <w:t>OV</w:t>
          </w:r>
          <w:r w:rsidRPr="00D32EE1">
            <w:rPr>
              <w:rFonts w:ascii="Arial" w:hAnsi="Arial" w:cs="Arial"/>
              <w:sz w:val="24"/>
            </w:rPr>
            <w:t xml:space="preserve">INDEX </w:t>
          </w:r>
        </w:p>
        <w:p w14:paraId="5B21B8A6" w14:textId="77777777" w:rsidR="00D80B6D" w:rsidRPr="00D32EE1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32EE1">
            <w:rPr>
              <w:rFonts w:ascii="Arial" w:hAnsi="Arial" w:cs="Arial"/>
              <w:sz w:val="24"/>
            </w:rPr>
            <w:t xml:space="preserve">INDEX SPOTŘEBITELSKÝCH ÚVĚRŮ  </w:t>
          </w:r>
        </w:p>
        <w:p w14:paraId="720CCDBB" w14:textId="77777777" w:rsidR="00D80B6D" w:rsidRPr="00886F0E" w:rsidRDefault="00D80B6D" w:rsidP="00D80B6D">
          <w:pPr>
            <w:pStyle w:val="Zkladntext"/>
            <w:spacing w:before="240"/>
            <w:rPr>
              <w:color w:val="FF0000"/>
              <w:sz w:val="20"/>
              <w:highlight w:val="yellow"/>
            </w:rPr>
          </w:pPr>
        </w:p>
        <w:p w14:paraId="703D71F2" w14:textId="77777777" w:rsidR="00D80B6D" w:rsidRPr="00886F0E" w:rsidRDefault="00D80B6D" w:rsidP="00D80B6D">
          <w:pPr>
            <w:pStyle w:val="Zkladntext"/>
            <w:rPr>
              <w:color w:val="FF0000"/>
              <w:sz w:val="20"/>
              <w:highlight w:val="yellow"/>
            </w:rPr>
          </w:pPr>
        </w:p>
        <w:p w14:paraId="00494A3A" w14:textId="77777777" w:rsidR="00D80B6D" w:rsidRPr="00886F0E" w:rsidRDefault="00D80B6D" w:rsidP="00D80B6D">
          <w:pPr>
            <w:pStyle w:val="Zkladntext"/>
            <w:rPr>
              <w:color w:val="FF0000"/>
              <w:sz w:val="20"/>
              <w:highlight w:val="yellow"/>
            </w:rPr>
          </w:pPr>
          <w:r w:rsidRPr="00886F0E">
            <w:rPr>
              <w:noProof/>
              <w:color w:val="FF0000"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886F0E" w:rsidRDefault="00D80B6D" w:rsidP="00D80B6D">
          <w:pPr>
            <w:pStyle w:val="Zkladntext"/>
            <w:rPr>
              <w:color w:val="FF0000"/>
              <w:sz w:val="20"/>
              <w:highlight w:val="yellow"/>
            </w:rPr>
          </w:pPr>
        </w:p>
        <w:p w14:paraId="2A5F355C" w14:textId="77777777" w:rsidR="00D80B6D" w:rsidRPr="00886F0E" w:rsidRDefault="00D80B6D" w:rsidP="00D80B6D">
          <w:pPr>
            <w:pStyle w:val="Zkladntext"/>
            <w:rPr>
              <w:color w:val="FF0000"/>
              <w:sz w:val="20"/>
              <w:highlight w:val="yellow"/>
            </w:rPr>
          </w:pPr>
        </w:p>
        <w:p w14:paraId="218EE6CB" w14:textId="77777777" w:rsidR="00D80B6D" w:rsidRPr="00886F0E" w:rsidRDefault="00D80B6D" w:rsidP="00D80B6D">
          <w:pPr>
            <w:pStyle w:val="Zkladntext"/>
            <w:rPr>
              <w:color w:val="FF0000"/>
              <w:sz w:val="20"/>
              <w:highlight w:val="yellow"/>
            </w:rPr>
          </w:pPr>
        </w:p>
        <w:p w14:paraId="0238B3AB" w14:textId="77777777" w:rsidR="00D80B6D" w:rsidRPr="00886F0E" w:rsidRDefault="00D80B6D" w:rsidP="00D80B6D">
          <w:pPr>
            <w:pStyle w:val="Zkladntext"/>
            <w:rPr>
              <w:color w:val="FF0000"/>
              <w:sz w:val="20"/>
              <w:highlight w:val="yellow"/>
            </w:rPr>
          </w:pPr>
        </w:p>
        <w:p w14:paraId="54516A42" w14:textId="77777777" w:rsidR="00D80B6D" w:rsidRPr="00886F0E" w:rsidRDefault="00D80B6D" w:rsidP="00D80B6D">
          <w:pPr>
            <w:pStyle w:val="Zkladntext"/>
            <w:rPr>
              <w:color w:val="FF0000"/>
              <w:sz w:val="20"/>
              <w:highlight w:val="yellow"/>
            </w:rPr>
          </w:pPr>
        </w:p>
        <w:p w14:paraId="5266363A" w14:textId="77777777" w:rsidR="00D80B6D" w:rsidRPr="00886F0E" w:rsidRDefault="00D80B6D" w:rsidP="00D80B6D">
          <w:pPr>
            <w:pStyle w:val="Zkladntext"/>
            <w:rPr>
              <w:color w:val="FF0000"/>
              <w:sz w:val="20"/>
              <w:highlight w:val="yellow"/>
            </w:rPr>
          </w:pPr>
        </w:p>
        <w:p w14:paraId="363B2E28" w14:textId="77777777" w:rsidR="00D80B6D" w:rsidRPr="00886F0E" w:rsidRDefault="00D80B6D" w:rsidP="00D80B6D">
          <w:pPr>
            <w:pStyle w:val="Zkladntext"/>
            <w:rPr>
              <w:color w:val="FF0000"/>
              <w:sz w:val="20"/>
              <w:highlight w:val="yellow"/>
            </w:rPr>
          </w:pPr>
        </w:p>
        <w:p w14:paraId="17667B44" w14:textId="77777777" w:rsidR="00D80B6D" w:rsidRPr="00886F0E" w:rsidRDefault="00D80B6D" w:rsidP="00D80B6D">
          <w:pPr>
            <w:pStyle w:val="Zkladntext"/>
            <w:jc w:val="both"/>
            <w:rPr>
              <w:rFonts w:ascii="Arial" w:hAnsi="Arial" w:cs="Arial"/>
              <w:color w:val="FF0000"/>
              <w:sz w:val="20"/>
              <w:highlight w:val="yellow"/>
            </w:rPr>
          </w:pPr>
        </w:p>
        <w:p w14:paraId="5193A529" w14:textId="77777777" w:rsidR="00D80B6D" w:rsidRPr="00886F0E" w:rsidRDefault="00D80B6D" w:rsidP="00D80B6D">
          <w:pPr>
            <w:pStyle w:val="Zkladntext"/>
            <w:jc w:val="both"/>
            <w:rPr>
              <w:rFonts w:ascii="Arial" w:hAnsi="Arial" w:cs="Arial"/>
              <w:b/>
              <w:color w:val="FF0000"/>
              <w:sz w:val="20"/>
              <w:highlight w:val="yellow"/>
            </w:rPr>
          </w:pPr>
        </w:p>
        <w:p w14:paraId="2833FE59" w14:textId="77777777" w:rsidR="00D80B6D" w:rsidRPr="00886F0E" w:rsidRDefault="00D80B6D" w:rsidP="00D80B6D">
          <w:pPr>
            <w:pStyle w:val="Zkladntext"/>
            <w:jc w:val="both"/>
            <w:rPr>
              <w:rFonts w:ascii="Arial" w:hAnsi="Arial" w:cs="Arial"/>
              <w:b/>
              <w:color w:val="FF0000"/>
              <w:sz w:val="20"/>
              <w:highlight w:val="yellow"/>
            </w:rPr>
          </w:pPr>
        </w:p>
        <w:p w14:paraId="6DB157BF" w14:textId="77777777" w:rsidR="00D80B6D" w:rsidRPr="00886F0E" w:rsidRDefault="00D80B6D" w:rsidP="00D80B6D">
          <w:pPr>
            <w:pStyle w:val="Zkladntext"/>
            <w:jc w:val="both"/>
            <w:rPr>
              <w:rFonts w:ascii="Arial" w:hAnsi="Arial" w:cs="Arial"/>
              <w:b/>
              <w:color w:val="FF0000"/>
              <w:sz w:val="20"/>
              <w:highlight w:val="yellow"/>
            </w:rPr>
          </w:pPr>
        </w:p>
        <w:p w14:paraId="47803C2A" w14:textId="77777777" w:rsidR="00D80B6D" w:rsidRPr="00886F0E" w:rsidRDefault="00D80B6D" w:rsidP="00D80B6D">
          <w:pPr>
            <w:pStyle w:val="Zkladntext"/>
            <w:jc w:val="both"/>
            <w:rPr>
              <w:rFonts w:ascii="Arial" w:hAnsi="Arial" w:cs="Arial"/>
              <w:b/>
              <w:color w:val="FF0000"/>
              <w:sz w:val="20"/>
              <w:highlight w:val="yellow"/>
            </w:rPr>
          </w:pPr>
        </w:p>
        <w:p w14:paraId="1D90E1D0" w14:textId="77777777" w:rsidR="00D80B6D" w:rsidRPr="00886F0E" w:rsidRDefault="00D80B6D" w:rsidP="00D80B6D">
          <w:pPr>
            <w:pStyle w:val="Zkladntext"/>
            <w:jc w:val="both"/>
            <w:rPr>
              <w:rFonts w:ascii="Arial" w:hAnsi="Arial" w:cs="Arial"/>
              <w:b/>
              <w:color w:val="FF0000"/>
              <w:sz w:val="20"/>
              <w:highlight w:val="yellow"/>
            </w:rPr>
          </w:pPr>
        </w:p>
        <w:p w14:paraId="5A33B823" w14:textId="77777777" w:rsidR="00D80B6D" w:rsidRPr="00886F0E" w:rsidRDefault="00D80B6D" w:rsidP="00D80B6D">
          <w:pPr>
            <w:pStyle w:val="Zkladntext"/>
            <w:jc w:val="both"/>
            <w:rPr>
              <w:rFonts w:ascii="Arial" w:hAnsi="Arial" w:cs="Arial"/>
              <w:b/>
              <w:color w:val="FF0000"/>
              <w:sz w:val="20"/>
              <w:highlight w:val="yellow"/>
            </w:rPr>
          </w:pPr>
        </w:p>
        <w:p w14:paraId="0D2BECD0" w14:textId="77777777" w:rsidR="00D80B6D" w:rsidRPr="00886F0E" w:rsidRDefault="00D80B6D" w:rsidP="00D80B6D">
          <w:pPr>
            <w:pStyle w:val="Zkladntext"/>
            <w:jc w:val="both"/>
            <w:rPr>
              <w:rFonts w:ascii="Arial" w:hAnsi="Arial" w:cs="Arial"/>
              <w:b/>
              <w:color w:val="FF0000"/>
              <w:sz w:val="20"/>
              <w:highlight w:val="yellow"/>
            </w:rPr>
          </w:pPr>
        </w:p>
        <w:p w14:paraId="69288FB9" w14:textId="77777777" w:rsidR="00D80B6D" w:rsidRPr="00886F0E" w:rsidRDefault="00D80B6D" w:rsidP="00D80B6D">
          <w:pPr>
            <w:pStyle w:val="Zkladntext"/>
            <w:jc w:val="both"/>
            <w:rPr>
              <w:rFonts w:ascii="Arial" w:hAnsi="Arial" w:cs="Arial"/>
              <w:b/>
              <w:color w:val="FF0000"/>
              <w:sz w:val="20"/>
              <w:highlight w:val="yellow"/>
            </w:rPr>
          </w:pPr>
        </w:p>
        <w:p w14:paraId="541E93D5" w14:textId="77777777" w:rsidR="00D80B6D" w:rsidRPr="00886F0E" w:rsidRDefault="00D80B6D" w:rsidP="00D80B6D">
          <w:pPr>
            <w:pStyle w:val="Zkladntext"/>
            <w:jc w:val="both"/>
            <w:rPr>
              <w:rFonts w:ascii="Arial" w:hAnsi="Arial" w:cs="Arial"/>
              <w:b/>
              <w:color w:val="FF0000"/>
              <w:sz w:val="20"/>
              <w:highlight w:val="yellow"/>
            </w:rPr>
          </w:pPr>
        </w:p>
        <w:p w14:paraId="341A343C" w14:textId="77777777" w:rsidR="00D80B6D" w:rsidRPr="00886F0E" w:rsidRDefault="00D80B6D" w:rsidP="00D80B6D">
          <w:pPr>
            <w:pStyle w:val="Zkladntext"/>
            <w:jc w:val="both"/>
            <w:rPr>
              <w:rFonts w:ascii="Arial" w:hAnsi="Arial" w:cs="Arial"/>
              <w:b/>
              <w:color w:val="FF0000"/>
              <w:sz w:val="20"/>
              <w:highlight w:val="yellow"/>
            </w:rPr>
          </w:pPr>
        </w:p>
        <w:p w14:paraId="6C52C42D" w14:textId="77777777" w:rsidR="00D80B6D" w:rsidRPr="00886F0E" w:rsidRDefault="00D80B6D" w:rsidP="00D80B6D">
          <w:pPr>
            <w:pStyle w:val="Zkladntext"/>
            <w:jc w:val="both"/>
            <w:rPr>
              <w:rFonts w:ascii="Arial" w:hAnsi="Arial" w:cs="Arial"/>
              <w:b/>
              <w:color w:val="FF0000"/>
              <w:sz w:val="20"/>
              <w:highlight w:val="yellow"/>
            </w:rPr>
          </w:pPr>
        </w:p>
        <w:p w14:paraId="3E3CDF25" w14:textId="77777777" w:rsidR="00D80B6D" w:rsidRPr="00886F0E" w:rsidRDefault="00D80B6D" w:rsidP="00D80B6D">
          <w:pPr>
            <w:pStyle w:val="Zkladntext"/>
            <w:jc w:val="both"/>
            <w:rPr>
              <w:rFonts w:ascii="Arial" w:hAnsi="Arial" w:cs="Arial"/>
              <w:b/>
              <w:color w:val="FF0000"/>
              <w:sz w:val="20"/>
              <w:highlight w:val="yellow"/>
            </w:rPr>
          </w:pPr>
        </w:p>
        <w:p w14:paraId="40495E64" w14:textId="77777777" w:rsidR="00D80B6D" w:rsidRPr="00886F0E" w:rsidRDefault="00D80B6D" w:rsidP="00D80B6D">
          <w:pPr>
            <w:pStyle w:val="Zkladntext"/>
            <w:jc w:val="both"/>
            <w:rPr>
              <w:rFonts w:ascii="Arial" w:hAnsi="Arial" w:cs="Arial"/>
              <w:b/>
              <w:color w:val="FF0000"/>
              <w:sz w:val="20"/>
              <w:highlight w:val="yellow"/>
            </w:rPr>
          </w:pPr>
        </w:p>
        <w:p w14:paraId="59B6F4E6" w14:textId="77777777" w:rsidR="00D80B6D" w:rsidRPr="00886F0E" w:rsidRDefault="00D80B6D" w:rsidP="00D80B6D">
          <w:pPr>
            <w:pStyle w:val="Zkladntext"/>
            <w:jc w:val="both"/>
            <w:rPr>
              <w:rFonts w:ascii="Arial" w:hAnsi="Arial" w:cs="Arial"/>
              <w:b/>
              <w:color w:val="FF0000"/>
              <w:sz w:val="20"/>
              <w:highlight w:val="yellow"/>
            </w:rPr>
          </w:pPr>
        </w:p>
        <w:p w14:paraId="5ADDFBD6" w14:textId="77777777" w:rsidR="00D80B6D" w:rsidRPr="00886F0E" w:rsidRDefault="00D80B6D" w:rsidP="00D80B6D">
          <w:pPr>
            <w:pStyle w:val="Zkladntext"/>
            <w:jc w:val="both"/>
            <w:rPr>
              <w:rFonts w:ascii="Arial" w:hAnsi="Arial" w:cs="Arial"/>
              <w:b/>
              <w:color w:val="FF0000"/>
              <w:sz w:val="20"/>
              <w:highlight w:val="yellow"/>
            </w:rPr>
          </w:pPr>
        </w:p>
        <w:p w14:paraId="1CB27DF8" w14:textId="77777777" w:rsidR="007B358E" w:rsidRPr="00886F0E" w:rsidRDefault="007B358E" w:rsidP="00D80B6D">
          <w:pPr>
            <w:pStyle w:val="Zkladntext"/>
            <w:jc w:val="both"/>
            <w:rPr>
              <w:rFonts w:ascii="Arial" w:hAnsi="Arial" w:cs="Arial"/>
              <w:b/>
              <w:color w:val="FF0000"/>
              <w:sz w:val="20"/>
              <w:highlight w:val="yellow"/>
            </w:rPr>
          </w:pPr>
        </w:p>
        <w:p w14:paraId="3A61C564" w14:textId="77777777" w:rsidR="0068617E" w:rsidRPr="00D32EE1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D32EE1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1132A3F" w14:textId="53DE594E" w:rsidR="00D80B6D" w:rsidRPr="00D32EE1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D32EE1">
            <w:rPr>
              <w:rFonts w:ascii="Arial" w:hAnsi="Arial" w:cs="Arial"/>
              <w:b/>
              <w:sz w:val="20"/>
            </w:rPr>
            <w:t>O společnosti Broker Consulting</w:t>
          </w:r>
        </w:p>
        <w:p w14:paraId="27485CC6" w14:textId="77777777" w:rsidR="00D80B6D" w:rsidRPr="00D32EE1" w:rsidRDefault="00D80B6D" w:rsidP="00D80B6D">
          <w:pPr>
            <w:jc w:val="both"/>
            <w:rPr>
              <w:rFonts w:ascii="Arial" w:hAnsi="Arial" w:cs="Arial"/>
              <w:sz w:val="20"/>
            </w:rPr>
          </w:pPr>
        </w:p>
        <w:p w14:paraId="08070DCC" w14:textId="591BE742" w:rsidR="00792EE9" w:rsidRPr="00D32EE1" w:rsidRDefault="00792EE9" w:rsidP="00792EE9">
          <w:pPr>
            <w:jc w:val="both"/>
            <w:rPr>
              <w:rStyle w:val="dn"/>
              <w:rFonts w:ascii="Arial" w:hAnsi="Arial" w:cs="Arial"/>
              <w:sz w:val="18"/>
              <w:szCs w:val="18"/>
            </w:rPr>
          </w:pPr>
          <w:r w:rsidRPr="00D32EE1">
            <w:rPr>
              <w:rFonts w:ascii="Arial" w:hAnsi="Arial" w:cs="Arial"/>
              <w:sz w:val="18"/>
            </w:rPr>
            <w:t xml:space="preserve">Broker Consulting je jednou z největších společností na českém a slovenském trhu, která poskytuje služby v oblasti financí a realit. Od roku 1998 získala důvěru více než 600 000 klientů. Poskytuje také služby přes 4 000 firmám. Distribuci služeb zajišťuje přibližně 2 000 konzultantů (profesionální konzultanti, zaměstnanci, konzultanti v zapracování v ČR i SR) ve více než 100 kancelářích a </w:t>
          </w:r>
          <w:r w:rsidR="002141AF" w:rsidRPr="00D32EE1">
            <w:rPr>
              <w:rFonts w:ascii="Arial" w:hAnsi="Arial" w:cs="Arial"/>
              <w:sz w:val="18"/>
            </w:rPr>
            <w:t>4</w:t>
          </w:r>
          <w:r w:rsidR="00A02308" w:rsidRPr="00D32EE1">
            <w:rPr>
              <w:rFonts w:ascii="Arial" w:hAnsi="Arial" w:cs="Arial"/>
              <w:sz w:val="18"/>
            </w:rPr>
            <w:t>2</w:t>
          </w:r>
          <w:r w:rsidRPr="00D32EE1">
            <w:rPr>
              <w:rFonts w:ascii="Arial" w:hAnsi="Arial" w:cs="Arial"/>
              <w:sz w:val="18"/>
            </w:rPr>
            <w:t xml:space="preserve"> franšízových pobočkách OK POINT.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 služby společně, to je OK POINT, který přináší společnost Broker Consulting ve spolupráci s </w:t>
          </w:r>
          <w:proofErr w:type="spellStart"/>
          <w:r w:rsidRPr="00D32EE1">
            <w:rPr>
              <w:rFonts w:ascii="Arial" w:hAnsi="Arial" w:cs="Arial"/>
              <w:sz w:val="18"/>
            </w:rPr>
            <w:t>mBank</w:t>
          </w:r>
          <w:proofErr w:type="spellEnd"/>
          <w:r w:rsidRPr="00D32EE1">
            <w:rPr>
              <w:rFonts w:ascii="Arial" w:hAnsi="Arial" w:cs="Arial"/>
              <w:sz w:val="18"/>
            </w:rPr>
            <w:t xml:space="preserve"> a MONETA Money Bank. </w:t>
          </w:r>
          <w:proofErr w:type="spellStart"/>
          <w:r w:rsidRPr="00D32EE1">
            <w:rPr>
              <w:rStyle w:val="dn"/>
              <w:rFonts w:ascii="Arial" w:hAnsi="Arial" w:cs="Arial"/>
              <w:sz w:val="18"/>
              <w:szCs w:val="18"/>
            </w:rPr>
            <w:t>Více</w:t>
          </w:r>
          <w:proofErr w:type="spellEnd"/>
          <w:r w:rsidRPr="00D32EE1">
            <w:rPr>
              <w:rStyle w:val="dn"/>
              <w:rFonts w:ascii="Arial" w:hAnsi="Arial" w:cs="Arial"/>
              <w:sz w:val="18"/>
              <w:szCs w:val="18"/>
            </w:rPr>
            <w:t xml:space="preserve"> na </w:t>
          </w:r>
          <w:hyperlink r:id="rId9" w:history="1">
            <w:r w:rsidR="007B232E" w:rsidRPr="00D32EE1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bcas.cz</w:t>
            </w:r>
          </w:hyperlink>
          <w:r w:rsidRPr="00D32EE1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0" w:history="1">
            <w:r w:rsidR="007B232E" w:rsidRPr="00D32EE1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okpointy.cz</w:t>
            </w:r>
          </w:hyperlink>
          <w:r w:rsidR="007B232E" w:rsidRPr="00D32EE1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1" w:history="1">
            <w:r w:rsidR="007B232E" w:rsidRPr="00D32EE1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okpoint.tv</w:t>
            </w:r>
          </w:hyperlink>
          <w:r w:rsidRPr="00D32EE1">
            <w:rPr>
              <w:rStyle w:val="dn"/>
              <w:rFonts w:ascii="Arial" w:hAnsi="Arial" w:cs="Arial"/>
              <w:sz w:val="18"/>
              <w:szCs w:val="18"/>
            </w:rPr>
            <w:t xml:space="preserve"> a na </w:t>
          </w:r>
          <w:hyperlink r:id="rId12" w:history="1">
            <w:r w:rsidRPr="00D32EE1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realityspolu.cz</w:t>
            </w:r>
          </w:hyperlink>
          <w:r w:rsidR="007B232E" w:rsidRPr="00D32EE1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. </w:t>
          </w:r>
          <w:proofErr w:type="spellStart"/>
          <w:r w:rsidRPr="00D32EE1">
            <w:rPr>
              <w:rStyle w:val="dn"/>
              <w:rFonts w:ascii="Arial" w:hAnsi="Arial" w:cs="Arial"/>
              <w:sz w:val="18"/>
              <w:szCs w:val="18"/>
            </w:rPr>
            <w:t>Navštivte</w:t>
          </w:r>
          <w:proofErr w:type="spellEnd"/>
          <w:r w:rsidRPr="00D32EE1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D32EE1">
            <w:rPr>
              <w:rStyle w:val="dn"/>
              <w:rFonts w:ascii="Arial" w:hAnsi="Arial" w:cs="Arial"/>
              <w:sz w:val="18"/>
              <w:szCs w:val="18"/>
            </w:rPr>
            <w:t>také</w:t>
          </w:r>
          <w:proofErr w:type="spellEnd"/>
          <w:r w:rsidRPr="00D32EE1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D32EE1">
            <w:rPr>
              <w:rStyle w:val="dn"/>
              <w:rFonts w:ascii="Arial" w:hAnsi="Arial" w:cs="Arial"/>
              <w:sz w:val="18"/>
              <w:szCs w:val="18"/>
            </w:rPr>
            <w:t>náš</w:t>
          </w:r>
          <w:proofErr w:type="spellEnd"/>
          <w:r w:rsidRPr="00D32EE1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hyperlink r:id="rId13" w:history="1">
            <w:r w:rsidRPr="00D32EE1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</w:hyperlink>
          <w:r w:rsidRPr="00D32EE1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4" w:history="1">
            <w:r w:rsidRPr="00D32EE1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LinkedIN</w:t>
            </w:r>
          </w:hyperlink>
          <w:r w:rsidRPr="00D32EE1">
            <w:rPr>
              <w:rStyle w:val="dn"/>
              <w:rFonts w:ascii="Arial" w:hAnsi="Arial" w:cs="Arial"/>
              <w:sz w:val="18"/>
              <w:szCs w:val="18"/>
            </w:rPr>
            <w:t xml:space="preserve"> Broker Consulting a </w:t>
          </w:r>
          <w:hyperlink r:id="rId15" w:history="1">
            <w:r w:rsidRPr="00D32EE1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</w:hyperlink>
          <w:r w:rsidRPr="00D32EE1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6" w:history="1">
            <w:r w:rsidRPr="00D32EE1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</w:t>
            </w:r>
          </w:hyperlink>
          <w:r w:rsidRPr="00D32EE1">
            <w:rPr>
              <w:rStyle w:val="Hypertextovodkaz"/>
              <w:rFonts w:ascii="Arial" w:hAnsi="Arial" w:cs="Arial"/>
              <w:color w:val="auto"/>
              <w:sz w:val="18"/>
              <w:szCs w:val="18"/>
            </w:rPr>
            <w:t>N</w:t>
          </w:r>
          <w:r w:rsidRPr="00D32EE1">
            <w:rPr>
              <w:rStyle w:val="dn"/>
              <w:rFonts w:ascii="Arial" w:hAnsi="Arial" w:cs="Arial"/>
              <w:sz w:val="18"/>
              <w:szCs w:val="18"/>
            </w:rPr>
            <w:t xml:space="preserve"> OK POINTů. </w:t>
          </w:r>
        </w:p>
        <w:p w14:paraId="3F0EC976" w14:textId="3496D289" w:rsidR="00D80B6D" w:rsidRPr="00886F0E" w:rsidRDefault="00D80B6D" w:rsidP="0068617E">
          <w:pPr>
            <w:pStyle w:val="Zkladntext"/>
            <w:jc w:val="both"/>
            <w:rPr>
              <w:rFonts w:ascii="Arial" w:hAnsi="Arial" w:cs="Arial"/>
              <w:color w:val="FF0000"/>
              <w:sz w:val="20"/>
              <w:highlight w:val="yellow"/>
            </w:rPr>
            <w:sectPr w:rsidR="00D80B6D" w:rsidRPr="00886F0E" w:rsidSect="00D80B6D">
              <w:headerReference w:type="default" r:id="rId17"/>
              <w:footerReference w:type="default" r:id="rId18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192727B5" w14:textId="77777777" w:rsidR="00A13346" w:rsidRPr="00886F0E" w:rsidRDefault="00A13346" w:rsidP="0025264B">
          <w:pPr>
            <w:rPr>
              <w:rFonts w:ascii="Arial" w:hAnsi="Arial" w:cs="Arial"/>
              <w:b/>
              <w:color w:val="FF0000"/>
              <w:sz w:val="20"/>
              <w:szCs w:val="20"/>
              <w:highlight w:val="yellow"/>
            </w:rPr>
          </w:pPr>
        </w:p>
        <w:p w14:paraId="35539C65" w14:textId="5E0FA483" w:rsidR="00D31127" w:rsidRPr="00886F0E" w:rsidRDefault="00991554" w:rsidP="0025264B">
          <w:pPr>
            <w:rPr>
              <w:rFonts w:ascii="Arial" w:hAnsi="Arial" w:cs="Arial"/>
              <w:b/>
              <w:color w:val="FF0000"/>
              <w:sz w:val="20"/>
              <w:szCs w:val="20"/>
              <w:highlight w:val="yellow"/>
            </w:rPr>
            <w:sectPr w:rsidR="00D31127" w:rsidRPr="00886F0E" w:rsidSect="00D80B6D">
              <w:headerReference w:type="even" r:id="rId19"/>
              <w:headerReference w:type="default" r:id="rId20"/>
              <w:footerReference w:type="even" r:id="rId21"/>
              <w:footerReference w:type="default" r:id="rId22"/>
              <w:headerReference w:type="first" r:id="rId23"/>
              <w:footerReference w:type="first" r:id="rId24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439D0EA1" w14:textId="77777777" w:rsidR="00CC580E" w:rsidRPr="00737D83" w:rsidRDefault="00CC580E" w:rsidP="00EC73D3">
      <w:pPr>
        <w:jc w:val="center"/>
        <w:rPr>
          <w:rFonts w:ascii="Arial" w:hAnsi="Arial" w:cs="Arial"/>
          <w:b/>
          <w:color w:val="FF0000"/>
          <w:sz w:val="16"/>
          <w:szCs w:val="16"/>
        </w:rPr>
      </w:pPr>
    </w:p>
    <w:p w14:paraId="5BA4F391" w14:textId="656467DE" w:rsidR="00EC73D3" w:rsidRPr="00685FBC" w:rsidRDefault="00ED2D1F" w:rsidP="00685FBC">
      <w:pPr>
        <w:jc w:val="center"/>
        <w:rPr>
          <w:rFonts w:ascii="Arial" w:hAnsi="Arial" w:cs="Arial"/>
          <w:b/>
          <w:sz w:val="28"/>
          <w:szCs w:val="28"/>
        </w:rPr>
      </w:pPr>
      <w:r w:rsidRPr="00685FBC">
        <w:rPr>
          <w:rFonts w:ascii="Arial" w:hAnsi="Arial" w:cs="Arial"/>
          <w:b/>
          <w:sz w:val="28"/>
          <w:szCs w:val="28"/>
        </w:rPr>
        <w:t xml:space="preserve">Broker Consulting Index </w:t>
      </w:r>
      <w:r w:rsidR="00982987" w:rsidRPr="00685FBC">
        <w:rPr>
          <w:rFonts w:ascii="Arial" w:hAnsi="Arial" w:cs="Arial"/>
          <w:b/>
          <w:sz w:val="28"/>
          <w:szCs w:val="28"/>
        </w:rPr>
        <w:t>podílových fondů</w:t>
      </w:r>
      <w:r w:rsidR="00EC73D3" w:rsidRPr="00685FBC">
        <w:rPr>
          <w:rFonts w:ascii="Arial" w:hAnsi="Arial" w:cs="Arial"/>
          <w:b/>
          <w:sz w:val="28"/>
          <w:szCs w:val="28"/>
        </w:rPr>
        <w:t>:</w:t>
      </w:r>
    </w:p>
    <w:p w14:paraId="1BDD7373" w14:textId="26CE1F03" w:rsidR="00BF6A33" w:rsidRPr="00685FBC" w:rsidRDefault="00685FBC" w:rsidP="00685FBC">
      <w:pPr>
        <w:jc w:val="center"/>
        <w:rPr>
          <w:rFonts w:ascii="Arial" w:hAnsi="Arial" w:cs="Arial"/>
          <w:b/>
          <w:sz w:val="28"/>
          <w:szCs w:val="28"/>
        </w:rPr>
      </w:pPr>
      <w:r w:rsidRPr="00685FBC">
        <w:rPr>
          <w:rFonts w:ascii="Arial" w:hAnsi="Arial" w:cs="Arial"/>
          <w:b/>
          <w:sz w:val="28"/>
          <w:szCs w:val="28"/>
        </w:rPr>
        <w:t xml:space="preserve">V říjnu zaznamenaly nejlepší výsledek akciové fondy, ze zářijového propadu na -3,91 % </w:t>
      </w:r>
      <w:r>
        <w:rPr>
          <w:rFonts w:ascii="Arial" w:hAnsi="Arial" w:cs="Arial"/>
          <w:b/>
          <w:sz w:val="28"/>
          <w:szCs w:val="28"/>
        </w:rPr>
        <w:t xml:space="preserve">během měsíce </w:t>
      </w:r>
      <w:r w:rsidR="00161879">
        <w:rPr>
          <w:rFonts w:ascii="Arial" w:hAnsi="Arial" w:cs="Arial"/>
          <w:b/>
          <w:sz w:val="28"/>
          <w:szCs w:val="28"/>
        </w:rPr>
        <w:t>posílily</w:t>
      </w:r>
      <w:r w:rsidRPr="00685FBC">
        <w:rPr>
          <w:rFonts w:ascii="Arial" w:hAnsi="Arial" w:cs="Arial"/>
          <w:b/>
          <w:sz w:val="28"/>
          <w:szCs w:val="28"/>
        </w:rPr>
        <w:t xml:space="preserve"> </w:t>
      </w:r>
      <w:r w:rsidR="00161879">
        <w:rPr>
          <w:rFonts w:ascii="Arial" w:hAnsi="Arial" w:cs="Arial"/>
          <w:b/>
          <w:sz w:val="28"/>
          <w:szCs w:val="28"/>
        </w:rPr>
        <w:t xml:space="preserve">až </w:t>
      </w:r>
      <w:r w:rsidRPr="00685FBC">
        <w:rPr>
          <w:rFonts w:ascii="Arial" w:hAnsi="Arial" w:cs="Arial"/>
          <w:b/>
          <w:sz w:val="28"/>
          <w:szCs w:val="28"/>
        </w:rPr>
        <w:t>na 3,45</w:t>
      </w:r>
      <w:r>
        <w:rPr>
          <w:rFonts w:ascii="Arial" w:hAnsi="Arial" w:cs="Arial"/>
          <w:b/>
          <w:sz w:val="28"/>
          <w:szCs w:val="28"/>
        </w:rPr>
        <w:t xml:space="preserve"> %</w:t>
      </w:r>
    </w:p>
    <w:p w14:paraId="7467897D" w14:textId="4CCE2F85" w:rsidR="00C23E32" w:rsidRPr="00BF6A33" w:rsidRDefault="00C23E32" w:rsidP="00B27178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6ECF5267" w14:textId="77777777" w:rsidR="001A5E76" w:rsidRDefault="001A5E76" w:rsidP="00BF6A33">
      <w:pPr>
        <w:rPr>
          <w:rFonts w:ascii="Arial" w:hAnsi="Arial" w:cs="Arial"/>
          <w:i/>
          <w:sz w:val="20"/>
          <w:szCs w:val="20"/>
        </w:rPr>
      </w:pPr>
    </w:p>
    <w:p w14:paraId="43922C8F" w14:textId="2C2B4125" w:rsidR="002831A1" w:rsidRDefault="00CC5BA3" w:rsidP="00EC2121">
      <w:pPr>
        <w:jc w:val="both"/>
        <w:rPr>
          <w:rFonts w:ascii="Arial" w:hAnsi="Arial" w:cs="Arial"/>
          <w:b/>
          <w:sz w:val="20"/>
          <w:szCs w:val="20"/>
        </w:rPr>
      </w:pPr>
      <w:r w:rsidRPr="00BF6A33">
        <w:rPr>
          <w:rFonts w:ascii="Arial" w:hAnsi="Arial" w:cs="Arial"/>
          <w:i/>
          <w:sz w:val="20"/>
          <w:szCs w:val="20"/>
        </w:rPr>
        <w:t xml:space="preserve">Praha, </w:t>
      </w:r>
      <w:r w:rsidR="008A14E4">
        <w:rPr>
          <w:rFonts w:ascii="Arial" w:hAnsi="Arial" w:cs="Arial"/>
          <w:i/>
          <w:sz w:val="20"/>
          <w:szCs w:val="20"/>
        </w:rPr>
        <w:t>11</w:t>
      </w:r>
      <w:r w:rsidR="00D32EE1">
        <w:rPr>
          <w:rFonts w:ascii="Arial" w:hAnsi="Arial" w:cs="Arial"/>
          <w:i/>
          <w:sz w:val="20"/>
          <w:szCs w:val="20"/>
        </w:rPr>
        <w:t xml:space="preserve">. </w:t>
      </w:r>
      <w:r w:rsidR="00161879">
        <w:rPr>
          <w:rFonts w:ascii="Arial" w:hAnsi="Arial" w:cs="Arial"/>
          <w:i/>
          <w:sz w:val="20"/>
          <w:szCs w:val="20"/>
        </w:rPr>
        <w:t>listopadu</w:t>
      </w:r>
      <w:r w:rsidR="00D32EE1">
        <w:rPr>
          <w:rFonts w:ascii="Arial" w:hAnsi="Arial" w:cs="Arial"/>
          <w:i/>
          <w:sz w:val="20"/>
          <w:szCs w:val="20"/>
        </w:rPr>
        <w:t xml:space="preserve"> </w:t>
      </w:r>
      <w:r w:rsidRPr="00BF6A33">
        <w:rPr>
          <w:rFonts w:ascii="Arial" w:hAnsi="Arial" w:cs="Arial"/>
          <w:i/>
          <w:sz w:val="20"/>
          <w:szCs w:val="20"/>
        </w:rPr>
        <w:t>2</w:t>
      </w:r>
      <w:r w:rsidRPr="00732F8D">
        <w:rPr>
          <w:rFonts w:ascii="Arial" w:hAnsi="Arial" w:cs="Arial"/>
          <w:i/>
          <w:sz w:val="20"/>
          <w:szCs w:val="20"/>
        </w:rPr>
        <w:t>021 –</w:t>
      </w:r>
      <w:r w:rsidR="0026621E" w:rsidRPr="00732F8D">
        <w:rPr>
          <w:rFonts w:ascii="Arial" w:hAnsi="Arial" w:cs="Arial"/>
          <w:b/>
          <w:sz w:val="20"/>
          <w:szCs w:val="20"/>
        </w:rPr>
        <w:t xml:space="preserve"> </w:t>
      </w:r>
      <w:r w:rsidR="001464F4" w:rsidRPr="00732F8D">
        <w:rPr>
          <w:rFonts w:ascii="Arial" w:hAnsi="Arial" w:cs="Arial"/>
          <w:b/>
          <w:sz w:val="20"/>
          <w:szCs w:val="20"/>
        </w:rPr>
        <w:t xml:space="preserve"> </w:t>
      </w:r>
      <w:r w:rsidR="002831A1">
        <w:rPr>
          <w:rFonts w:ascii="Arial" w:hAnsi="Arial" w:cs="Arial"/>
          <w:b/>
          <w:sz w:val="20"/>
          <w:szCs w:val="20"/>
        </w:rPr>
        <w:t xml:space="preserve">Akciové fondy </w:t>
      </w:r>
      <w:r w:rsidR="006A6681">
        <w:rPr>
          <w:rFonts w:ascii="Arial" w:hAnsi="Arial" w:cs="Arial"/>
          <w:b/>
          <w:sz w:val="20"/>
          <w:szCs w:val="20"/>
        </w:rPr>
        <w:t xml:space="preserve">po zářijovém propadu </w:t>
      </w:r>
      <w:r w:rsidR="00DE69CC">
        <w:rPr>
          <w:rFonts w:ascii="Arial" w:hAnsi="Arial" w:cs="Arial"/>
          <w:b/>
          <w:sz w:val="20"/>
          <w:szCs w:val="20"/>
        </w:rPr>
        <w:t xml:space="preserve">výrazně </w:t>
      </w:r>
      <w:r w:rsidR="006A6681">
        <w:rPr>
          <w:rFonts w:ascii="Arial" w:hAnsi="Arial" w:cs="Arial"/>
          <w:b/>
          <w:sz w:val="20"/>
          <w:szCs w:val="20"/>
        </w:rPr>
        <w:t>posílily a</w:t>
      </w:r>
      <w:r w:rsidR="00DE69CC">
        <w:rPr>
          <w:rFonts w:ascii="Arial" w:hAnsi="Arial" w:cs="Arial"/>
          <w:b/>
          <w:sz w:val="20"/>
          <w:szCs w:val="20"/>
        </w:rPr>
        <w:t xml:space="preserve"> za říjen si</w:t>
      </w:r>
      <w:r w:rsidR="006A6681">
        <w:rPr>
          <w:rFonts w:ascii="Arial" w:hAnsi="Arial" w:cs="Arial"/>
          <w:b/>
          <w:sz w:val="20"/>
          <w:szCs w:val="20"/>
        </w:rPr>
        <w:t xml:space="preserve"> připsaly </w:t>
      </w:r>
      <w:r w:rsidR="00180D72">
        <w:rPr>
          <w:rFonts w:ascii="Arial" w:hAnsi="Arial" w:cs="Arial"/>
          <w:b/>
          <w:sz w:val="20"/>
          <w:szCs w:val="20"/>
        </w:rPr>
        <w:t xml:space="preserve">3,45 %. Nepatrně posílily také nemovitostní fondy, které si připsaly 0,15 %. </w:t>
      </w:r>
      <w:r w:rsidR="006A6681">
        <w:rPr>
          <w:rFonts w:ascii="Arial" w:hAnsi="Arial" w:cs="Arial"/>
          <w:b/>
          <w:sz w:val="20"/>
          <w:szCs w:val="20"/>
        </w:rPr>
        <w:t>Pokles</w:t>
      </w:r>
      <w:r w:rsidR="00180D72">
        <w:rPr>
          <w:rFonts w:ascii="Arial" w:hAnsi="Arial" w:cs="Arial"/>
          <w:b/>
          <w:sz w:val="20"/>
          <w:szCs w:val="20"/>
        </w:rPr>
        <w:t xml:space="preserve"> </w:t>
      </w:r>
      <w:r w:rsidR="00A55E01">
        <w:rPr>
          <w:rFonts w:ascii="Arial" w:hAnsi="Arial" w:cs="Arial"/>
          <w:b/>
          <w:sz w:val="20"/>
          <w:szCs w:val="20"/>
        </w:rPr>
        <w:t xml:space="preserve">-2,09 % </w:t>
      </w:r>
      <w:r w:rsidR="00180D72">
        <w:rPr>
          <w:rFonts w:ascii="Arial" w:hAnsi="Arial" w:cs="Arial"/>
          <w:b/>
          <w:sz w:val="20"/>
          <w:szCs w:val="20"/>
        </w:rPr>
        <w:t xml:space="preserve">naopak </w:t>
      </w:r>
      <w:r w:rsidR="00A55E01">
        <w:rPr>
          <w:rFonts w:ascii="Arial" w:hAnsi="Arial" w:cs="Arial"/>
          <w:b/>
          <w:sz w:val="20"/>
          <w:szCs w:val="20"/>
        </w:rPr>
        <w:t xml:space="preserve">zaznamenaly dluhopisové fondy a nedařilo se ani fondům peněžního trhu, které </w:t>
      </w:r>
      <w:r w:rsidR="006A6681">
        <w:rPr>
          <w:rFonts w:ascii="Arial" w:hAnsi="Arial" w:cs="Arial"/>
          <w:b/>
          <w:sz w:val="20"/>
          <w:szCs w:val="20"/>
        </w:rPr>
        <w:t>poklesly</w:t>
      </w:r>
      <w:r w:rsidR="00A55E01">
        <w:rPr>
          <w:rFonts w:ascii="Arial" w:hAnsi="Arial" w:cs="Arial"/>
          <w:b/>
          <w:sz w:val="20"/>
          <w:szCs w:val="20"/>
        </w:rPr>
        <w:t xml:space="preserve"> </w:t>
      </w:r>
      <w:r w:rsidR="00DE69CC">
        <w:rPr>
          <w:rFonts w:ascii="Arial" w:hAnsi="Arial" w:cs="Arial"/>
          <w:b/>
          <w:sz w:val="20"/>
          <w:szCs w:val="20"/>
        </w:rPr>
        <w:t xml:space="preserve">na úroveň </w:t>
      </w:r>
      <w:r w:rsidR="00A55E01">
        <w:rPr>
          <w:rFonts w:ascii="Arial" w:hAnsi="Arial" w:cs="Arial"/>
          <w:b/>
          <w:sz w:val="20"/>
          <w:szCs w:val="20"/>
        </w:rPr>
        <w:t xml:space="preserve">-1,89 %. </w:t>
      </w:r>
      <w:r w:rsidR="00685FBC">
        <w:rPr>
          <w:rFonts w:ascii="Arial" w:hAnsi="Arial" w:cs="Arial"/>
          <w:b/>
          <w:sz w:val="20"/>
          <w:szCs w:val="20"/>
        </w:rPr>
        <w:t>K</w:t>
      </w:r>
      <w:r w:rsidR="00A55E01">
        <w:rPr>
          <w:rFonts w:ascii="Arial" w:hAnsi="Arial" w:cs="Arial"/>
          <w:b/>
          <w:sz w:val="20"/>
          <w:szCs w:val="20"/>
        </w:rPr>
        <w:t xml:space="preserve">omoditní fondy </w:t>
      </w:r>
      <w:r w:rsidR="00685FBC">
        <w:rPr>
          <w:rFonts w:ascii="Arial" w:hAnsi="Arial" w:cs="Arial"/>
          <w:b/>
          <w:sz w:val="20"/>
          <w:szCs w:val="20"/>
        </w:rPr>
        <w:t xml:space="preserve">sice </w:t>
      </w:r>
      <w:r w:rsidR="00A55E01">
        <w:rPr>
          <w:rFonts w:ascii="Arial" w:hAnsi="Arial" w:cs="Arial"/>
          <w:b/>
          <w:sz w:val="20"/>
          <w:szCs w:val="20"/>
        </w:rPr>
        <w:t xml:space="preserve">oproti září </w:t>
      </w:r>
      <w:r w:rsidR="00A31FAC">
        <w:rPr>
          <w:rFonts w:ascii="Arial" w:hAnsi="Arial" w:cs="Arial"/>
          <w:b/>
          <w:sz w:val="20"/>
          <w:szCs w:val="20"/>
        </w:rPr>
        <w:t xml:space="preserve">mírně oslabily o </w:t>
      </w:r>
      <w:r w:rsidR="00A55E01">
        <w:rPr>
          <w:rFonts w:ascii="Arial" w:hAnsi="Arial" w:cs="Arial"/>
          <w:b/>
          <w:sz w:val="20"/>
          <w:szCs w:val="20"/>
        </w:rPr>
        <w:t xml:space="preserve">0,65 procentního bodu, </w:t>
      </w:r>
      <w:r w:rsidR="00685FBC">
        <w:rPr>
          <w:rFonts w:ascii="Arial" w:hAnsi="Arial" w:cs="Arial"/>
          <w:b/>
          <w:sz w:val="20"/>
          <w:szCs w:val="20"/>
        </w:rPr>
        <w:t xml:space="preserve">přesto si </w:t>
      </w:r>
      <w:r w:rsidR="00A55E01">
        <w:rPr>
          <w:rFonts w:ascii="Arial" w:hAnsi="Arial" w:cs="Arial"/>
          <w:b/>
          <w:sz w:val="20"/>
          <w:szCs w:val="20"/>
        </w:rPr>
        <w:t xml:space="preserve">s přehledem </w:t>
      </w:r>
      <w:r w:rsidR="00685FBC">
        <w:rPr>
          <w:rFonts w:ascii="Arial" w:hAnsi="Arial" w:cs="Arial"/>
          <w:b/>
          <w:sz w:val="20"/>
          <w:szCs w:val="20"/>
        </w:rPr>
        <w:t xml:space="preserve">udržely </w:t>
      </w:r>
      <w:r w:rsidR="00A55E01">
        <w:rPr>
          <w:rFonts w:ascii="Arial" w:hAnsi="Arial" w:cs="Arial"/>
          <w:b/>
          <w:sz w:val="20"/>
          <w:szCs w:val="20"/>
        </w:rPr>
        <w:t>kladnou hodnotu 3,24 %.</w:t>
      </w:r>
    </w:p>
    <w:p w14:paraId="3B6F1479" w14:textId="2F71414C" w:rsidR="00297CEA" w:rsidRDefault="00297CEA" w:rsidP="00EC2121">
      <w:pPr>
        <w:jc w:val="both"/>
        <w:rPr>
          <w:rFonts w:ascii="Arial" w:hAnsi="Arial" w:cs="Arial"/>
          <w:b/>
          <w:sz w:val="20"/>
          <w:szCs w:val="20"/>
        </w:rPr>
      </w:pPr>
    </w:p>
    <w:p w14:paraId="77D2CB75" w14:textId="64455D05" w:rsidR="00297CEA" w:rsidRDefault="00297CEA" w:rsidP="00EC2121">
      <w:pPr>
        <w:jc w:val="both"/>
        <w:rPr>
          <w:rFonts w:ascii="Arial" w:hAnsi="Arial" w:cs="Arial"/>
          <w:sz w:val="20"/>
          <w:szCs w:val="20"/>
        </w:rPr>
      </w:pPr>
      <w:r w:rsidRPr="00297CEA">
        <w:rPr>
          <w:rFonts w:ascii="Arial" w:hAnsi="Arial" w:cs="Arial"/>
          <w:sz w:val="20"/>
          <w:szCs w:val="20"/>
        </w:rPr>
        <w:t xml:space="preserve">Světovou ekonomikou v současné době asi nejvíce </w:t>
      </w:r>
      <w:r>
        <w:rPr>
          <w:rFonts w:ascii="Arial" w:hAnsi="Arial" w:cs="Arial"/>
          <w:sz w:val="20"/>
          <w:szCs w:val="20"/>
        </w:rPr>
        <w:t xml:space="preserve">otřásají rostoucí </w:t>
      </w:r>
      <w:r w:rsidRPr="00297CEA">
        <w:rPr>
          <w:rFonts w:ascii="Arial" w:hAnsi="Arial" w:cs="Arial"/>
          <w:sz w:val="20"/>
          <w:szCs w:val="20"/>
        </w:rPr>
        <w:t xml:space="preserve">čísla nakažených </w:t>
      </w:r>
      <w:r>
        <w:rPr>
          <w:rFonts w:ascii="Arial" w:hAnsi="Arial" w:cs="Arial"/>
          <w:sz w:val="20"/>
          <w:szCs w:val="20"/>
        </w:rPr>
        <w:t>koronavirem</w:t>
      </w:r>
      <w:r w:rsidRPr="00297CEA">
        <w:rPr>
          <w:rFonts w:ascii="Arial" w:hAnsi="Arial" w:cs="Arial"/>
          <w:sz w:val="20"/>
          <w:szCs w:val="20"/>
        </w:rPr>
        <w:t>. Ka</w:t>
      </w:r>
      <w:bookmarkStart w:id="0" w:name="_GoBack"/>
      <w:bookmarkEnd w:id="0"/>
      <w:r w:rsidRPr="00297CEA">
        <w:rPr>
          <w:rFonts w:ascii="Arial" w:hAnsi="Arial" w:cs="Arial"/>
          <w:sz w:val="20"/>
          <w:szCs w:val="20"/>
        </w:rPr>
        <w:t xml:space="preserve">ždý stát k řešení pandemie </w:t>
      </w:r>
      <w:r>
        <w:rPr>
          <w:rFonts w:ascii="Arial" w:hAnsi="Arial" w:cs="Arial"/>
          <w:sz w:val="20"/>
          <w:szCs w:val="20"/>
        </w:rPr>
        <w:t>přistupuje odlišně,</w:t>
      </w:r>
      <w:r w:rsidRPr="00297CEA">
        <w:rPr>
          <w:rFonts w:ascii="Arial" w:hAnsi="Arial" w:cs="Arial"/>
          <w:sz w:val="20"/>
          <w:szCs w:val="20"/>
        </w:rPr>
        <w:t xml:space="preserve"> a panuje</w:t>
      </w:r>
      <w:r>
        <w:rPr>
          <w:rFonts w:ascii="Arial" w:hAnsi="Arial" w:cs="Arial"/>
          <w:sz w:val="20"/>
          <w:szCs w:val="20"/>
        </w:rPr>
        <w:t xml:space="preserve"> tak</w:t>
      </w:r>
      <w:r w:rsidRPr="00297CEA">
        <w:rPr>
          <w:rFonts w:ascii="Arial" w:hAnsi="Arial" w:cs="Arial"/>
          <w:sz w:val="20"/>
          <w:szCs w:val="20"/>
        </w:rPr>
        <w:t xml:space="preserve"> obava, že křehký ekonomický růst nastartovaný </w:t>
      </w:r>
      <w:proofErr w:type="spellStart"/>
      <w:r w:rsidRPr="00297CEA">
        <w:rPr>
          <w:rFonts w:ascii="Arial" w:hAnsi="Arial" w:cs="Arial"/>
          <w:sz w:val="20"/>
          <w:szCs w:val="20"/>
        </w:rPr>
        <w:t>pocovidovým</w:t>
      </w:r>
      <w:proofErr w:type="spellEnd"/>
      <w:r>
        <w:rPr>
          <w:rFonts w:ascii="Arial" w:hAnsi="Arial" w:cs="Arial"/>
          <w:sz w:val="20"/>
          <w:szCs w:val="20"/>
        </w:rPr>
        <w:t xml:space="preserve"> oživením se může opět zastavit</w:t>
      </w:r>
      <w:r w:rsidRPr="00297CEA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Výjimkou není ani </w:t>
      </w:r>
      <w:r w:rsidRPr="00297CEA">
        <w:rPr>
          <w:rFonts w:ascii="Arial" w:hAnsi="Arial" w:cs="Arial"/>
          <w:sz w:val="20"/>
          <w:szCs w:val="20"/>
        </w:rPr>
        <w:t>Česk</w:t>
      </w:r>
      <w:r>
        <w:rPr>
          <w:rFonts w:ascii="Arial" w:hAnsi="Arial" w:cs="Arial"/>
          <w:sz w:val="20"/>
          <w:szCs w:val="20"/>
        </w:rPr>
        <w:t>á</w:t>
      </w:r>
      <w:r w:rsidRPr="00297CEA">
        <w:rPr>
          <w:rFonts w:ascii="Arial" w:hAnsi="Arial" w:cs="Arial"/>
          <w:sz w:val="20"/>
          <w:szCs w:val="20"/>
        </w:rPr>
        <w:t xml:space="preserve"> republi</w:t>
      </w:r>
      <w:r>
        <w:rPr>
          <w:rFonts w:ascii="Arial" w:hAnsi="Arial" w:cs="Arial"/>
          <w:sz w:val="20"/>
          <w:szCs w:val="20"/>
        </w:rPr>
        <w:t>ka</w:t>
      </w:r>
      <w:r w:rsidRPr="00297CEA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kde pomyslný olej d</w:t>
      </w:r>
      <w:r w:rsidRPr="00297CEA">
        <w:rPr>
          <w:rFonts w:ascii="Arial" w:hAnsi="Arial" w:cs="Arial"/>
          <w:sz w:val="20"/>
          <w:szCs w:val="20"/>
        </w:rPr>
        <w:t>o ekonomického ohně přilévá svými kroky Česká národní banka.</w:t>
      </w:r>
    </w:p>
    <w:p w14:paraId="4E6C9D59" w14:textId="77777777" w:rsidR="00297CEA" w:rsidRPr="00297CEA" w:rsidRDefault="00297CEA" w:rsidP="00EC2121">
      <w:pPr>
        <w:jc w:val="both"/>
        <w:rPr>
          <w:rFonts w:ascii="Arial" w:hAnsi="Arial" w:cs="Arial"/>
          <w:sz w:val="20"/>
          <w:szCs w:val="20"/>
        </w:rPr>
      </w:pPr>
    </w:p>
    <w:p w14:paraId="34A40B68" w14:textId="752ED694" w:rsidR="007B026B" w:rsidRDefault="007B026B" w:rsidP="00EC2121">
      <w:pPr>
        <w:jc w:val="both"/>
        <w:rPr>
          <w:rFonts w:ascii="Arial" w:hAnsi="Arial" w:cs="Arial"/>
          <w:sz w:val="20"/>
          <w:szCs w:val="20"/>
        </w:rPr>
      </w:pPr>
      <w:r w:rsidRPr="007B026B">
        <w:rPr>
          <w:rFonts w:ascii="Arial" w:hAnsi="Arial" w:cs="Arial"/>
          <w:i/>
          <w:sz w:val="20"/>
          <w:szCs w:val="20"/>
        </w:rPr>
        <w:t>„</w:t>
      </w:r>
      <w:r w:rsidR="00F64000" w:rsidRPr="007B026B">
        <w:rPr>
          <w:rFonts w:ascii="Arial" w:hAnsi="Arial" w:cs="Arial"/>
          <w:i/>
          <w:sz w:val="20"/>
          <w:szCs w:val="20"/>
        </w:rPr>
        <w:t xml:space="preserve">Zásadním hybatelem </w:t>
      </w:r>
      <w:r w:rsidR="00161879">
        <w:rPr>
          <w:rFonts w:ascii="Arial" w:hAnsi="Arial" w:cs="Arial"/>
          <w:i/>
          <w:sz w:val="20"/>
          <w:szCs w:val="20"/>
        </w:rPr>
        <w:t xml:space="preserve">ekonomického </w:t>
      </w:r>
      <w:r w:rsidR="00F64000" w:rsidRPr="007B026B">
        <w:rPr>
          <w:rFonts w:ascii="Arial" w:hAnsi="Arial" w:cs="Arial"/>
          <w:i/>
          <w:sz w:val="20"/>
          <w:szCs w:val="20"/>
        </w:rPr>
        <w:t>dění je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="00161879">
        <w:rPr>
          <w:rFonts w:ascii="Arial" w:hAnsi="Arial" w:cs="Arial"/>
          <w:i/>
          <w:sz w:val="20"/>
          <w:szCs w:val="20"/>
        </w:rPr>
        <w:t xml:space="preserve">dnes </w:t>
      </w:r>
      <w:r>
        <w:rPr>
          <w:rFonts w:ascii="Arial" w:hAnsi="Arial" w:cs="Arial"/>
          <w:i/>
          <w:sz w:val="20"/>
          <w:szCs w:val="20"/>
        </w:rPr>
        <w:t xml:space="preserve">vedle </w:t>
      </w:r>
      <w:r w:rsidR="00161879">
        <w:rPr>
          <w:rFonts w:ascii="Arial" w:hAnsi="Arial" w:cs="Arial"/>
          <w:i/>
          <w:sz w:val="20"/>
          <w:szCs w:val="20"/>
        </w:rPr>
        <w:t>c</w:t>
      </w:r>
      <w:r>
        <w:rPr>
          <w:rFonts w:ascii="Arial" w:hAnsi="Arial" w:cs="Arial"/>
          <w:i/>
          <w:sz w:val="20"/>
          <w:szCs w:val="20"/>
        </w:rPr>
        <w:t>ovidu-19</w:t>
      </w:r>
      <w:r w:rsidR="00F64000" w:rsidRPr="007B026B">
        <w:rPr>
          <w:rFonts w:ascii="Arial" w:hAnsi="Arial" w:cs="Arial"/>
          <w:i/>
          <w:sz w:val="20"/>
          <w:szCs w:val="20"/>
        </w:rPr>
        <w:t xml:space="preserve"> zvyšující se inflace nejen u nás, ale i ve světě. S touto výzvou se budou dříve či později muset poprat všechny vlády a centrální banky po celém světě.</w:t>
      </w:r>
      <w:r w:rsidRPr="007B026B">
        <w:rPr>
          <w:rFonts w:ascii="Arial" w:hAnsi="Arial" w:cs="Arial"/>
          <w:i/>
          <w:sz w:val="20"/>
          <w:szCs w:val="20"/>
        </w:rPr>
        <w:t xml:space="preserve"> </w:t>
      </w:r>
      <w:r w:rsidR="00F64000" w:rsidRPr="007B026B">
        <w:rPr>
          <w:rFonts w:ascii="Arial" w:hAnsi="Arial" w:cs="Arial"/>
          <w:i/>
          <w:sz w:val="20"/>
          <w:szCs w:val="20"/>
        </w:rPr>
        <w:t xml:space="preserve">Řešení této situace </w:t>
      </w:r>
      <w:r w:rsidR="00297CEA" w:rsidRPr="007B026B">
        <w:rPr>
          <w:rFonts w:ascii="Arial" w:hAnsi="Arial" w:cs="Arial"/>
          <w:i/>
          <w:sz w:val="20"/>
          <w:szCs w:val="20"/>
        </w:rPr>
        <w:t xml:space="preserve">může </w:t>
      </w:r>
      <w:r w:rsidR="00F64000" w:rsidRPr="007B026B">
        <w:rPr>
          <w:rFonts w:ascii="Arial" w:hAnsi="Arial" w:cs="Arial"/>
          <w:i/>
          <w:sz w:val="20"/>
          <w:szCs w:val="20"/>
        </w:rPr>
        <w:t>spočívat v</w:t>
      </w:r>
      <w:r w:rsidR="00297CEA" w:rsidRPr="007B026B">
        <w:rPr>
          <w:rFonts w:ascii="Arial" w:hAnsi="Arial" w:cs="Arial"/>
          <w:i/>
          <w:sz w:val="20"/>
          <w:szCs w:val="20"/>
        </w:rPr>
        <w:t xml:space="preserve"> normalizaci stavů na kapitálových trzích a </w:t>
      </w:r>
      <w:r w:rsidR="00EC2121">
        <w:rPr>
          <w:rFonts w:ascii="Arial" w:hAnsi="Arial" w:cs="Arial"/>
          <w:i/>
          <w:sz w:val="20"/>
          <w:szCs w:val="20"/>
        </w:rPr>
        <w:t xml:space="preserve">odklonu </w:t>
      </w:r>
      <w:r w:rsidR="00297CEA" w:rsidRPr="007B026B">
        <w:rPr>
          <w:rFonts w:ascii="Arial" w:hAnsi="Arial" w:cs="Arial"/>
          <w:i/>
          <w:sz w:val="20"/>
          <w:szCs w:val="20"/>
        </w:rPr>
        <w:t xml:space="preserve">od politiky levných peněz a skupování dluhopisů. Problém je, že na těchto podpůrných injekcích světová ekonomika leží již dlouho </w:t>
      </w:r>
      <w:r w:rsidR="00F64000" w:rsidRPr="007B026B">
        <w:rPr>
          <w:rFonts w:ascii="Arial" w:hAnsi="Arial" w:cs="Arial"/>
          <w:i/>
          <w:sz w:val="20"/>
          <w:szCs w:val="20"/>
        </w:rPr>
        <w:t>a ozdravný proces tak bude bolestivý</w:t>
      </w:r>
      <w:r w:rsidR="00297CEA" w:rsidRPr="007B026B">
        <w:rPr>
          <w:rFonts w:ascii="Arial" w:hAnsi="Arial" w:cs="Arial"/>
          <w:i/>
          <w:sz w:val="20"/>
          <w:szCs w:val="20"/>
        </w:rPr>
        <w:t xml:space="preserve">. </w:t>
      </w:r>
      <w:r w:rsidR="00F64000" w:rsidRPr="007B026B">
        <w:rPr>
          <w:rFonts w:ascii="Arial" w:hAnsi="Arial" w:cs="Arial"/>
          <w:i/>
          <w:sz w:val="20"/>
          <w:szCs w:val="20"/>
        </w:rPr>
        <w:t xml:space="preserve">Nejprve se projeví u </w:t>
      </w:r>
      <w:r w:rsidRPr="007B026B">
        <w:rPr>
          <w:rFonts w:ascii="Arial" w:hAnsi="Arial" w:cs="Arial"/>
          <w:i/>
          <w:sz w:val="20"/>
          <w:szCs w:val="20"/>
        </w:rPr>
        <w:t>dluhopisových fondů a následně u akciových,“</w:t>
      </w:r>
      <w:r>
        <w:rPr>
          <w:rFonts w:ascii="Arial" w:hAnsi="Arial" w:cs="Arial"/>
          <w:sz w:val="20"/>
          <w:szCs w:val="20"/>
        </w:rPr>
        <w:t xml:space="preserve"> </w:t>
      </w:r>
      <w:r w:rsidR="00BE1DA6">
        <w:rPr>
          <w:rFonts w:ascii="Arial" w:hAnsi="Arial" w:cs="Arial"/>
          <w:sz w:val="20"/>
          <w:szCs w:val="20"/>
        </w:rPr>
        <w:t>komentuje situaci</w:t>
      </w:r>
      <w:r>
        <w:rPr>
          <w:rFonts w:ascii="Arial" w:hAnsi="Arial" w:cs="Arial"/>
          <w:sz w:val="20"/>
          <w:szCs w:val="20"/>
        </w:rPr>
        <w:t xml:space="preserve"> </w:t>
      </w:r>
      <w:r w:rsidRPr="007B026B">
        <w:rPr>
          <w:rFonts w:ascii="Arial" w:hAnsi="Arial" w:cs="Arial"/>
          <w:b/>
          <w:sz w:val="20"/>
          <w:szCs w:val="20"/>
        </w:rPr>
        <w:t>hlavní analytik Broker Consulting Martin Novák</w:t>
      </w:r>
      <w:r>
        <w:rPr>
          <w:rFonts w:ascii="Arial" w:hAnsi="Arial" w:cs="Arial"/>
          <w:sz w:val="20"/>
          <w:szCs w:val="20"/>
        </w:rPr>
        <w:t>.</w:t>
      </w:r>
    </w:p>
    <w:p w14:paraId="08F5962F" w14:textId="508F39B4" w:rsidR="007B026B" w:rsidRDefault="007B026B" w:rsidP="00EC2121">
      <w:pPr>
        <w:jc w:val="both"/>
        <w:rPr>
          <w:rFonts w:ascii="Arial" w:hAnsi="Arial" w:cs="Arial"/>
          <w:sz w:val="20"/>
          <w:szCs w:val="20"/>
        </w:rPr>
      </w:pPr>
    </w:p>
    <w:p w14:paraId="21A583D0" w14:textId="690BBE02" w:rsidR="007B026B" w:rsidRDefault="007B026B" w:rsidP="00EC212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 pohledu investorů si v říjnu nejlépe vedly akciové fondy, které překonaly předchozí </w:t>
      </w:r>
      <w:r w:rsidR="006A6681">
        <w:rPr>
          <w:rFonts w:ascii="Arial" w:hAnsi="Arial" w:cs="Arial"/>
          <w:sz w:val="20"/>
          <w:szCs w:val="20"/>
        </w:rPr>
        <w:t>pokles</w:t>
      </w:r>
      <w:r>
        <w:rPr>
          <w:rFonts w:ascii="Arial" w:hAnsi="Arial" w:cs="Arial"/>
          <w:sz w:val="20"/>
          <w:szCs w:val="20"/>
        </w:rPr>
        <w:t xml:space="preserve"> -</w:t>
      </w:r>
      <w:r w:rsidR="00A31FAC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 xml:space="preserve">,91 % a během měsíce vystoupaly až na </w:t>
      </w:r>
      <w:r w:rsidR="00A31FAC">
        <w:rPr>
          <w:rFonts w:ascii="Arial" w:hAnsi="Arial" w:cs="Arial"/>
          <w:sz w:val="20"/>
          <w:szCs w:val="20"/>
        </w:rPr>
        <w:t xml:space="preserve">kladnou </w:t>
      </w:r>
      <w:r>
        <w:rPr>
          <w:rFonts w:ascii="Arial" w:hAnsi="Arial" w:cs="Arial"/>
          <w:sz w:val="20"/>
          <w:szCs w:val="20"/>
        </w:rPr>
        <w:t xml:space="preserve">hodnotu 3,45 %. </w:t>
      </w:r>
      <w:r w:rsidR="00A31FAC">
        <w:rPr>
          <w:rFonts w:ascii="Arial" w:hAnsi="Arial" w:cs="Arial"/>
          <w:sz w:val="20"/>
          <w:szCs w:val="20"/>
        </w:rPr>
        <w:t xml:space="preserve"> </w:t>
      </w:r>
      <w:r w:rsidR="00413BEC">
        <w:rPr>
          <w:rFonts w:ascii="Arial" w:hAnsi="Arial" w:cs="Arial"/>
          <w:sz w:val="20"/>
          <w:szCs w:val="20"/>
        </w:rPr>
        <w:t xml:space="preserve">Po akciových fondech zaznamenaly v říjnu nejvyšší </w:t>
      </w:r>
      <w:r w:rsidR="006A6681">
        <w:rPr>
          <w:rFonts w:ascii="Arial" w:hAnsi="Arial" w:cs="Arial"/>
          <w:sz w:val="20"/>
          <w:szCs w:val="20"/>
        </w:rPr>
        <w:t>růst</w:t>
      </w:r>
      <w:r w:rsidR="00413BEC">
        <w:rPr>
          <w:rFonts w:ascii="Arial" w:hAnsi="Arial" w:cs="Arial"/>
          <w:sz w:val="20"/>
          <w:szCs w:val="20"/>
        </w:rPr>
        <w:t xml:space="preserve"> fondy komoditní, a sice 3,24 %. Přesto </w:t>
      </w:r>
      <w:r w:rsidR="00DE69CC">
        <w:rPr>
          <w:rFonts w:ascii="Arial" w:hAnsi="Arial" w:cs="Arial"/>
          <w:sz w:val="20"/>
          <w:szCs w:val="20"/>
        </w:rPr>
        <w:t xml:space="preserve">se v porovnání se zářijovými 3,89 procenty </w:t>
      </w:r>
      <w:r w:rsidR="00413BEC">
        <w:rPr>
          <w:rFonts w:ascii="Arial" w:hAnsi="Arial" w:cs="Arial"/>
          <w:sz w:val="20"/>
          <w:szCs w:val="20"/>
        </w:rPr>
        <w:t>jedná o nepatrně nižší</w:t>
      </w:r>
      <w:r w:rsidR="006A6681">
        <w:rPr>
          <w:rFonts w:ascii="Arial" w:hAnsi="Arial" w:cs="Arial"/>
          <w:sz w:val="20"/>
          <w:szCs w:val="20"/>
        </w:rPr>
        <w:t xml:space="preserve"> růst</w:t>
      </w:r>
      <w:r w:rsidR="00413BEC">
        <w:rPr>
          <w:rFonts w:ascii="Arial" w:hAnsi="Arial" w:cs="Arial"/>
          <w:sz w:val="20"/>
          <w:szCs w:val="20"/>
        </w:rPr>
        <w:t xml:space="preserve">. </w:t>
      </w:r>
      <w:r w:rsidR="00A31FAC">
        <w:rPr>
          <w:rFonts w:ascii="Arial" w:hAnsi="Arial" w:cs="Arial"/>
          <w:sz w:val="20"/>
          <w:szCs w:val="20"/>
        </w:rPr>
        <w:t xml:space="preserve">Posílení, i když jen velmi mírného, dosáhly také nemovitostní fondy, které měsíc uzavřely na 0,15 %. </w:t>
      </w:r>
    </w:p>
    <w:p w14:paraId="1D13874B" w14:textId="28BEA73E" w:rsidR="00413BEC" w:rsidRDefault="00413BEC" w:rsidP="00EC2121">
      <w:pPr>
        <w:jc w:val="both"/>
        <w:rPr>
          <w:rFonts w:ascii="Arial" w:hAnsi="Arial" w:cs="Arial"/>
          <w:sz w:val="20"/>
          <w:szCs w:val="20"/>
        </w:rPr>
      </w:pPr>
    </w:p>
    <w:p w14:paraId="3522BBCF" w14:textId="51A17F8C" w:rsidR="00413BEC" w:rsidRDefault="00413BEC" w:rsidP="00EC212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 záporným výsledkem zakončily říjen fondy dluhopisové</w:t>
      </w:r>
      <w:r w:rsidR="00BE1DA6">
        <w:rPr>
          <w:rFonts w:ascii="Arial" w:hAnsi="Arial" w:cs="Arial"/>
          <w:sz w:val="20"/>
          <w:szCs w:val="20"/>
        </w:rPr>
        <w:t xml:space="preserve">, a to -2,09 %. Od začátku letošního roku si připisují ze všech fondů sledovaných Indexem nejhorší celkové výsledky, konkrétně -5,34. Stejně tak se v záporných hodnotách </w:t>
      </w:r>
      <w:r w:rsidR="00161879">
        <w:rPr>
          <w:rFonts w:ascii="Arial" w:hAnsi="Arial" w:cs="Arial"/>
          <w:sz w:val="20"/>
          <w:szCs w:val="20"/>
        </w:rPr>
        <w:t xml:space="preserve">pohybují </w:t>
      </w:r>
      <w:r w:rsidR="00BE1DA6">
        <w:rPr>
          <w:rFonts w:ascii="Arial" w:hAnsi="Arial" w:cs="Arial"/>
          <w:sz w:val="20"/>
          <w:szCs w:val="20"/>
        </w:rPr>
        <w:t>již od ledna fondy peněžního trhu, které v říjnu odepsaly -1,89 %.</w:t>
      </w:r>
    </w:p>
    <w:p w14:paraId="576C287F" w14:textId="6B5A65B4" w:rsidR="00BE1DA6" w:rsidRDefault="00BE1DA6" w:rsidP="00EC2121">
      <w:pPr>
        <w:jc w:val="both"/>
        <w:rPr>
          <w:rFonts w:ascii="Arial" w:hAnsi="Arial" w:cs="Arial"/>
          <w:sz w:val="20"/>
          <w:szCs w:val="20"/>
        </w:rPr>
      </w:pPr>
    </w:p>
    <w:p w14:paraId="05FC94DE" w14:textId="77777777" w:rsidR="00BE1DA6" w:rsidRDefault="00BE1DA6" w:rsidP="00EC2121">
      <w:pPr>
        <w:jc w:val="both"/>
        <w:rPr>
          <w:rFonts w:ascii="Arial" w:hAnsi="Arial" w:cs="Arial"/>
          <w:sz w:val="20"/>
          <w:szCs w:val="20"/>
        </w:rPr>
      </w:pPr>
    </w:p>
    <w:p w14:paraId="3B2C7B17" w14:textId="7FB01B12" w:rsidR="007B026B" w:rsidRPr="00EC2121" w:rsidRDefault="00BE1DA6" w:rsidP="00EC2121">
      <w:pPr>
        <w:jc w:val="both"/>
        <w:rPr>
          <w:rFonts w:ascii="Arial" w:hAnsi="Arial" w:cs="Arial"/>
          <w:sz w:val="20"/>
          <w:szCs w:val="20"/>
          <w:u w:val="single"/>
        </w:rPr>
      </w:pPr>
      <w:r w:rsidRPr="00EC2121">
        <w:rPr>
          <w:rFonts w:ascii="Arial" w:hAnsi="Arial" w:cs="Arial"/>
          <w:sz w:val="20"/>
          <w:szCs w:val="20"/>
          <w:u w:val="single"/>
        </w:rPr>
        <w:t xml:space="preserve">Jaký vývoj lze podle Martina Nováka očekávat? </w:t>
      </w:r>
    </w:p>
    <w:p w14:paraId="248C5012" w14:textId="1E392008" w:rsidR="00297CEA" w:rsidRPr="00EC2121" w:rsidRDefault="00EC2121" w:rsidP="00EC2121">
      <w:pPr>
        <w:jc w:val="both"/>
        <w:rPr>
          <w:rFonts w:ascii="Arial" w:hAnsi="Arial" w:cs="Arial"/>
          <w:i/>
          <w:sz w:val="20"/>
          <w:szCs w:val="20"/>
        </w:rPr>
      </w:pPr>
      <w:r w:rsidRPr="00EC2121">
        <w:rPr>
          <w:rFonts w:ascii="Arial" w:hAnsi="Arial" w:cs="Arial"/>
          <w:i/>
          <w:sz w:val="20"/>
          <w:szCs w:val="20"/>
        </w:rPr>
        <w:t>„</w:t>
      </w:r>
      <w:r w:rsidR="00DE69CC">
        <w:rPr>
          <w:rFonts w:ascii="Arial" w:hAnsi="Arial" w:cs="Arial"/>
          <w:i/>
          <w:sz w:val="20"/>
          <w:szCs w:val="20"/>
        </w:rPr>
        <w:t>Dalšímu</w:t>
      </w:r>
      <w:r w:rsidRPr="00EC2121">
        <w:rPr>
          <w:rFonts w:ascii="Arial" w:hAnsi="Arial" w:cs="Arial"/>
          <w:i/>
          <w:sz w:val="20"/>
          <w:szCs w:val="20"/>
        </w:rPr>
        <w:t xml:space="preserve"> zvyšování ú</w:t>
      </w:r>
      <w:r w:rsidR="00297CEA" w:rsidRPr="00EC2121">
        <w:rPr>
          <w:rFonts w:ascii="Arial" w:hAnsi="Arial" w:cs="Arial"/>
          <w:i/>
          <w:sz w:val="20"/>
          <w:szCs w:val="20"/>
        </w:rPr>
        <w:t>rokových sazeb</w:t>
      </w:r>
      <w:r w:rsidR="00DE69CC">
        <w:rPr>
          <w:rFonts w:ascii="Arial" w:hAnsi="Arial" w:cs="Arial"/>
          <w:i/>
          <w:sz w:val="20"/>
          <w:szCs w:val="20"/>
        </w:rPr>
        <w:t xml:space="preserve"> se nevyhneme</w:t>
      </w:r>
      <w:r w:rsidRPr="00EC2121">
        <w:rPr>
          <w:rFonts w:ascii="Arial" w:hAnsi="Arial" w:cs="Arial"/>
          <w:i/>
          <w:sz w:val="20"/>
          <w:szCs w:val="20"/>
        </w:rPr>
        <w:t xml:space="preserve">. </w:t>
      </w:r>
      <w:r w:rsidR="00DE69CC">
        <w:rPr>
          <w:rFonts w:ascii="Arial" w:hAnsi="Arial" w:cs="Arial"/>
          <w:i/>
          <w:sz w:val="20"/>
          <w:szCs w:val="20"/>
        </w:rPr>
        <w:t>P</w:t>
      </w:r>
      <w:r>
        <w:rPr>
          <w:rFonts w:ascii="Arial" w:hAnsi="Arial" w:cs="Arial"/>
          <w:i/>
          <w:sz w:val="20"/>
          <w:szCs w:val="20"/>
        </w:rPr>
        <w:t>řinese</w:t>
      </w:r>
      <w:r w:rsidR="00297CEA" w:rsidRPr="00EC2121">
        <w:rPr>
          <w:rFonts w:ascii="Arial" w:hAnsi="Arial" w:cs="Arial"/>
          <w:i/>
          <w:sz w:val="20"/>
          <w:szCs w:val="20"/>
        </w:rPr>
        <w:t xml:space="preserve"> </w:t>
      </w:r>
      <w:r w:rsidR="00DE69CC">
        <w:rPr>
          <w:rFonts w:ascii="Arial" w:hAnsi="Arial" w:cs="Arial"/>
          <w:i/>
          <w:sz w:val="20"/>
          <w:szCs w:val="20"/>
        </w:rPr>
        <w:t>to však e</w:t>
      </w:r>
      <w:r w:rsidR="00297CEA" w:rsidRPr="00EC2121">
        <w:rPr>
          <w:rFonts w:ascii="Arial" w:hAnsi="Arial" w:cs="Arial"/>
          <w:i/>
          <w:sz w:val="20"/>
          <w:szCs w:val="20"/>
        </w:rPr>
        <w:t xml:space="preserve">konomické problémy </w:t>
      </w:r>
      <w:r>
        <w:rPr>
          <w:rFonts w:ascii="Arial" w:hAnsi="Arial" w:cs="Arial"/>
          <w:i/>
          <w:sz w:val="20"/>
          <w:szCs w:val="20"/>
        </w:rPr>
        <w:t xml:space="preserve">některým firmám </w:t>
      </w:r>
      <w:r w:rsidR="00297CEA" w:rsidRPr="00EC2121">
        <w:rPr>
          <w:rFonts w:ascii="Arial" w:hAnsi="Arial" w:cs="Arial"/>
          <w:i/>
          <w:sz w:val="20"/>
          <w:szCs w:val="20"/>
        </w:rPr>
        <w:t xml:space="preserve">a tyto problémy se </w:t>
      </w:r>
      <w:r>
        <w:rPr>
          <w:rFonts w:ascii="Arial" w:hAnsi="Arial" w:cs="Arial"/>
          <w:i/>
          <w:sz w:val="20"/>
          <w:szCs w:val="20"/>
        </w:rPr>
        <w:t>následně</w:t>
      </w:r>
      <w:r w:rsidR="00297CEA" w:rsidRPr="00EC2121">
        <w:rPr>
          <w:rFonts w:ascii="Arial" w:hAnsi="Arial" w:cs="Arial"/>
          <w:i/>
          <w:sz w:val="20"/>
          <w:szCs w:val="20"/>
        </w:rPr>
        <w:t xml:space="preserve"> projeví</w:t>
      </w:r>
      <w:r w:rsidRPr="00EC2121">
        <w:rPr>
          <w:rFonts w:ascii="Arial" w:hAnsi="Arial" w:cs="Arial"/>
          <w:i/>
          <w:sz w:val="20"/>
          <w:szCs w:val="20"/>
        </w:rPr>
        <w:t xml:space="preserve"> jak</w:t>
      </w:r>
      <w:r w:rsidR="00297CEA" w:rsidRPr="00EC2121">
        <w:rPr>
          <w:rFonts w:ascii="Arial" w:hAnsi="Arial" w:cs="Arial"/>
          <w:i/>
          <w:sz w:val="20"/>
          <w:szCs w:val="20"/>
        </w:rPr>
        <w:t xml:space="preserve"> na trhu práce</w:t>
      </w:r>
      <w:r w:rsidRPr="00EC2121">
        <w:rPr>
          <w:rFonts w:ascii="Arial" w:hAnsi="Arial" w:cs="Arial"/>
          <w:i/>
          <w:sz w:val="20"/>
          <w:szCs w:val="20"/>
        </w:rPr>
        <w:t>, tak</w:t>
      </w:r>
      <w:r w:rsidR="00297CEA" w:rsidRPr="00EC2121">
        <w:rPr>
          <w:rFonts w:ascii="Arial" w:hAnsi="Arial" w:cs="Arial"/>
          <w:i/>
          <w:sz w:val="20"/>
          <w:szCs w:val="20"/>
        </w:rPr>
        <w:t xml:space="preserve"> na kapitálovém trhu. </w:t>
      </w:r>
      <w:r w:rsidRPr="00EC2121">
        <w:rPr>
          <w:rFonts w:ascii="Arial" w:hAnsi="Arial" w:cs="Arial"/>
          <w:i/>
          <w:sz w:val="20"/>
          <w:szCs w:val="20"/>
        </w:rPr>
        <w:t>Tím nastane doslova</w:t>
      </w:r>
      <w:r w:rsidR="00297CEA" w:rsidRPr="00EC2121">
        <w:rPr>
          <w:rFonts w:ascii="Arial" w:hAnsi="Arial" w:cs="Arial"/>
          <w:i/>
          <w:sz w:val="20"/>
          <w:szCs w:val="20"/>
        </w:rPr>
        <w:t xml:space="preserve"> učebnicový ekonomický propad, který trhy „vyčistí“ od neefektivních a nákladových firem a p</w:t>
      </w:r>
      <w:r w:rsidRPr="00EC2121">
        <w:rPr>
          <w:rFonts w:ascii="Arial" w:hAnsi="Arial" w:cs="Arial"/>
          <w:i/>
          <w:sz w:val="20"/>
          <w:szCs w:val="20"/>
        </w:rPr>
        <w:t>rojektů dávajících</w:t>
      </w:r>
      <w:r w:rsidR="00297CEA" w:rsidRPr="00EC2121">
        <w:rPr>
          <w:rFonts w:ascii="Arial" w:hAnsi="Arial" w:cs="Arial"/>
          <w:i/>
          <w:sz w:val="20"/>
          <w:szCs w:val="20"/>
        </w:rPr>
        <w:t xml:space="preserve"> smysl jen při velmi nízkých úrokových sazbách. </w:t>
      </w:r>
      <w:r w:rsidRPr="00EC2121">
        <w:rPr>
          <w:rFonts w:ascii="Arial" w:hAnsi="Arial" w:cs="Arial"/>
          <w:i/>
          <w:sz w:val="20"/>
          <w:szCs w:val="20"/>
        </w:rPr>
        <w:t>Otázkou je, kdo</w:t>
      </w:r>
      <w:r w:rsidR="00297CEA" w:rsidRPr="00EC2121">
        <w:rPr>
          <w:rFonts w:ascii="Arial" w:hAnsi="Arial" w:cs="Arial"/>
          <w:i/>
          <w:sz w:val="20"/>
          <w:szCs w:val="20"/>
        </w:rPr>
        <w:t xml:space="preserve"> z velkých „hráčů“</w:t>
      </w:r>
      <w:r w:rsidRPr="00EC2121">
        <w:rPr>
          <w:rFonts w:ascii="Arial" w:hAnsi="Arial" w:cs="Arial"/>
          <w:i/>
          <w:sz w:val="20"/>
          <w:szCs w:val="20"/>
        </w:rPr>
        <w:t xml:space="preserve"> se </w:t>
      </w:r>
      <w:r w:rsidR="00297CEA" w:rsidRPr="00EC2121">
        <w:rPr>
          <w:rFonts w:ascii="Arial" w:hAnsi="Arial" w:cs="Arial"/>
          <w:i/>
          <w:sz w:val="20"/>
          <w:szCs w:val="20"/>
        </w:rPr>
        <w:t>k tomuto kroku odhodlá jako první a jak moc velké dopady to bude mít na reálnou ekonomiku a životy běžných lidí. Ne každá centrální banka má potřebnou odvahu jako právě ta česká, která udělala za politikou lev</w:t>
      </w:r>
      <w:r w:rsidRPr="00EC2121">
        <w:rPr>
          <w:rFonts w:ascii="Arial" w:hAnsi="Arial" w:cs="Arial"/>
          <w:i/>
          <w:sz w:val="20"/>
          <w:szCs w:val="20"/>
        </w:rPr>
        <w:t>ných peněz opravdu ráznou tečku.“</w:t>
      </w:r>
      <w:r w:rsidR="00297CEA" w:rsidRPr="00EC2121">
        <w:rPr>
          <w:rFonts w:ascii="Arial" w:hAnsi="Arial" w:cs="Arial"/>
          <w:i/>
          <w:sz w:val="20"/>
          <w:szCs w:val="20"/>
        </w:rPr>
        <w:t xml:space="preserve"> </w:t>
      </w:r>
    </w:p>
    <w:p w14:paraId="26E2C432" w14:textId="77777777" w:rsidR="00297CEA" w:rsidRDefault="00297CEA" w:rsidP="00EC2121">
      <w:pPr>
        <w:jc w:val="both"/>
        <w:rPr>
          <w:rFonts w:ascii="Arial" w:hAnsi="Arial" w:cs="Arial"/>
          <w:b/>
          <w:sz w:val="20"/>
          <w:szCs w:val="20"/>
        </w:rPr>
      </w:pPr>
    </w:p>
    <w:p w14:paraId="56950EA5" w14:textId="77777777" w:rsidR="002831A1" w:rsidRDefault="002831A1" w:rsidP="00EC2121">
      <w:pPr>
        <w:jc w:val="both"/>
        <w:rPr>
          <w:rFonts w:ascii="Arial" w:hAnsi="Arial" w:cs="Arial"/>
          <w:b/>
          <w:sz w:val="20"/>
          <w:szCs w:val="20"/>
        </w:rPr>
      </w:pPr>
    </w:p>
    <w:p w14:paraId="68C7EA5E" w14:textId="59C430E8" w:rsidR="00737D83" w:rsidRDefault="008A14E4" w:rsidP="008B480A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pict w14:anchorId="063F85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6pt;height:127.2pt">
            <v:imagedata r:id="rId25" o:title="Tabulka BC Index podilovych fondu - rijen 2021"/>
          </v:shape>
        </w:pict>
      </w:r>
    </w:p>
    <w:p w14:paraId="6B726BED" w14:textId="77777777" w:rsidR="00737D83" w:rsidRDefault="00737D83" w:rsidP="008B480A">
      <w:pPr>
        <w:jc w:val="both"/>
        <w:rPr>
          <w:rFonts w:ascii="Arial" w:hAnsi="Arial" w:cs="Arial"/>
          <w:b/>
          <w:sz w:val="20"/>
          <w:szCs w:val="20"/>
        </w:rPr>
      </w:pPr>
    </w:p>
    <w:p w14:paraId="04267F20" w14:textId="215F1D8E" w:rsidR="00CA6621" w:rsidRDefault="00CA6621" w:rsidP="00A12A99">
      <w:pPr>
        <w:jc w:val="both"/>
        <w:rPr>
          <w:rFonts w:ascii="Arial" w:eastAsia="Calibri" w:hAnsi="Arial" w:cs="Arial"/>
          <w:b/>
          <w:color w:val="FF0000"/>
          <w:sz w:val="20"/>
          <w:szCs w:val="20"/>
          <w:lang w:eastAsia="en-US" w:bidi="ar-SA"/>
        </w:rPr>
      </w:pPr>
    </w:p>
    <w:p w14:paraId="618BBF76" w14:textId="3384AE7B" w:rsidR="00E6319B" w:rsidRPr="00D21E1C" w:rsidRDefault="00E6319B" w:rsidP="00A12A99">
      <w:pPr>
        <w:jc w:val="both"/>
        <w:rPr>
          <w:rFonts w:ascii="Arial" w:hAnsi="Arial" w:cs="Arial"/>
          <w:color w:val="1D1D1B"/>
          <w:w w:val="105"/>
          <w:sz w:val="20"/>
          <w:szCs w:val="20"/>
        </w:rPr>
      </w:pPr>
      <w:r w:rsidRPr="00957DEA">
        <w:rPr>
          <w:rFonts w:ascii="Arial" w:hAnsi="Arial" w:cs="Arial"/>
          <w:b/>
          <w:sz w:val="20"/>
          <w:szCs w:val="20"/>
        </w:rPr>
        <w:t>Poznámka pro média:</w:t>
      </w:r>
      <w:r w:rsidRPr="00957DEA">
        <w:rPr>
          <w:rFonts w:ascii="Arial" w:hAnsi="Arial" w:cs="Arial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Indexy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je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možné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volně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spacing w:val="2"/>
          <w:w w:val="105"/>
          <w:sz w:val="20"/>
          <w:szCs w:val="20"/>
        </w:rPr>
        <w:t>publikovat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pouze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s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označením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„Broker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Index“</w:t>
      </w:r>
      <w:r w:rsidR="00957DEA"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>(</w:t>
      </w:r>
      <w:r w:rsidR="00670237"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>např.</w:t>
      </w:r>
      <w:r w:rsidR="00957DEA"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hypoteční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="00D21E1C">
        <w:rPr>
          <w:rFonts w:ascii="Arial" w:hAnsi="Arial" w:cs="Arial"/>
          <w:color w:val="1D1D1B"/>
          <w:w w:val="105"/>
          <w:sz w:val="20"/>
          <w:szCs w:val="20"/>
        </w:rPr>
        <w:t xml:space="preserve">index).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 xml:space="preserve">Více informací najdete též na </w:t>
      </w:r>
      <w:r w:rsidR="00E32181">
        <w:rPr>
          <w:rFonts w:ascii="Arial" w:hAnsi="Arial" w:cs="Arial"/>
          <w:color w:val="1D1D1B"/>
          <w:w w:val="105"/>
          <w:sz w:val="20"/>
          <w:szCs w:val="20"/>
        </w:rPr>
        <w:t xml:space="preserve">stránkách </w:t>
      </w:r>
      <w:r w:rsidR="00E32181">
        <w:rPr>
          <w:rStyle w:val="Hypertextovodkaz"/>
          <w:rFonts w:ascii="Arial" w:hAnsi="Arial" w:cs="Arial"/>
          <w:w w:val="105"/>
          <w:sz w:val="20"/>
          <w:szCs w:val="20"/>
        </w:rPr>
        <w:t>www.bcas.cz/</w:t>
      </w:r>
      <w:proofErr w:type="spellStart"/>
      <w:r w:rsidR="00E32181">
        <w:rPr>
          <w:rStyle w:val="Hypertextovodkaz"/>
          <w:rFonts w:ascii="Arial" w:hAnsi="Arial" w:cs="Arial"/>
          <w:w w:val="105"/>
          <w:sz w:val="20"/>
          <w:szCs w:val="20"/>
        </w:rPr>
        <w:t>onas</w:t>
      </w:r>
      <w:proofErr w:type="spellEnd"/>
      <w:r w:rsidR="00E32181">
        <w:rPr>
          <w:rStyle w:val="Hypertextovodkaz"/>
          <w:rFonts w:ascii="Arial" w:hAnsi="Arial" w:cs="Arial"/>
          <w:w w:val="105"/>
          <w:sz w:val="20"/>
          <w:szCs w:val="20"/>
        </w:rPr>
        <w:t>/pro-media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.</w:t>
      </w:r>
      <w:r w:rsidRPr="00957DEA">
        <w:rPr>
          <w:rFonts w:ascii="Arial" w:hAnsi="Arial" w:cs="Arial"/>
          <w:i/>
          <w:color w:val="1D1D1B"/>
          <w:w w:val="105"/>
          <w:sz w:val="20"/>
          <w:szCs w:val="20"/>
        </w:rPr>
        <w:t xml:space="preserve"> </w:t>
      </w:r>
    </w:p>
    <w:p w14:paraId="14159423" w14:textId="58FDA03C" w:rsidR="00D21E1C" w:rsidRDefault="00D21E1C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2613E4D1" w14:textId="77777777" w:rsidR="00A13346" w:rsidRDefault="00A13346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7C39FA25" w14:textId="77777777" w:rsidR="00833ECF" w:rsidRDefault="00833ECF" w:rsidP="00265810">
      <w:pPr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61C7488E" w14:textId="66844AE4" w:rsidR="00265810" w:rsidRDefault="00265810" w:rsidP="00265810">
      <w:pPr>
        <w:jc w:val="both"/>
        <w:rPr>
          <w:rFonts w:ascii="Arial" w:eastAsia="Times New Roman" w:hAnsi="Arial" w:cs="Arial"/>
          <w:sz w:val="20"/>
          <w:szCs w:val="20"/>
        </w:rPr>
      </w:pPr>
      <w:r w:rsidRPr="00265810">
        <w:rPr>
          <w:rFonts w:ascii="Arial" w:eastAsia="Times New Roman" w:hAnsi="Arial" w:cs="Arial"/>
          <w:b/>
          <w:sz w:val="20"/>
          <w:szCs w:val="20"/>
        </w:rPr>
        <w:lastRenderedPageBreak/>
        <w:t>Index podílových fondů</w:t>
      </w:r>
      <w:r>
        <w:rPr>
          <w:rFonts w:ascii="Arial" w:eastAsia="Times New Roman" w:hAnsi="Arial" w:cs="Arial"/>
          <w:sz w:val="20"/>
          <w:szCs w:val="20"/>
        </w:rPr>
        <w:t xml:space="preserve"> reprezentuje portfolio převážně českého inves</w:t>
      </w:r>
      <w:r w:rsidR="00E32181">
        <w:rPr>
          <w:rFonts w:ascii="Arial" w:eastAsia="Times New Roman" w:hAnsi="Arial" w:cs="Arial"/>
          <w:sz w:val="20"/>
          <w:szCs w:val="20"/>
        </w:rPr>
        <w:t xml:space="preserve">tora. U akciových fondů </w:t>
      </w:r>
      <w:r w:rsidR="0071058C">
        <w:rPr>
          <w:rFonts w:ascii="Arial" w:eastAsia="Times New Roman" w:hAnsi="Arial" w:cs="Arial"/>
          <w:sz w:val="20"/>
          <w:szCs w:val="20"/>
        </w:rPr>
        <w:t xml:space="preserve">nebere </w:t>
      </w:r>
      <w:r w:rsidR="0071058C" w:rsidRPr="0071058C">
        <w:rPr>
          <w:rFonts w:ascii="Arial" w:eastAsia="Times New Roman" w:hAnsi="Arial" w:cs="Arial"/>
          <w:sz w:val="20"/>
          <w:szCs w:val="20"/>
        </w:rPr>
        <w:t>v potaz úzké regionální či sektorové zaměření</w:t>
      </w:r>
      <w:r w:rsidR="0071058C">
        <w:rPr>
          <w:rFonts w:ascii="Arial" w:eastAsia="Times New Roman" w:hAnsi="Arial" w:cs="Arial"/>
          <w:sz w:val="20"/>
          <w:szCs w:val="20"/>
        </w:rPr>
        <w:t>, ale</w:t>
      </w:r>
      <w:r w:rsidR="00E32181">
        <w:rPr>
          <w:rFonts w:ascii="Arial" w:eastAsia="Times New Roman" w:hAnsi="Arial" w:cs="Arial"/>
          <w:sz w:val="20"/>
          <w:szCs w:val="20"/>
        </w:rPr>
        <w:t xml:space="preserve"> zaměřuje</w:t>
      </w:r>
      <w:r>
        <w:rPr>
          <w:rFonts w:ascii="Arial" w:eastAsia="Times New Roman" w:hAnsi="Arial" w:cs="Arial"/>
          <w:sz w:val="20"/>
          <w:szCs w:val="20"/>
        </w:rPr>
        <w:t xml:space="preserve"> se na globální akciový trh. Složení fondů v akciovém indexu reflektuje portfolio běžného českého investora investujícího do akciových fondů. Podobné je to také u komoditních fondů, kde index reflektuje výkonnost fondů investujících převážně do tradičních komodi</w:t>
      </w:r>
      <w:r w:rsidR="00E32181">
        <w:rPr>
          <w:rFonts w:ascii="Arial" w:eastAsia="Times New Roman" w:hAnsi="Arial" w:cs="Arial"/>
          <w:sz w:val="20"/>
          <w:szCs w:val="20"/>
        </w:rPr>
        <w:t>t. U dluhopisových fondů klade index</w:t>
      </w:r>
      <w:r>
        <w:rPr>
          <w:rFonts w:ascii="Arial" w:eastAsia="Times New Roman" w:hAnsi="Arial" w:cs="Arial"/>
          <w:sz w:val="20"/>
          <w:szCs w:val="20"/>
        </w:rPr>
        <w:t xml:space="preserve"> větší důraz na české a evropské dluhopisové fondy</w:t>
      </w:r>
      <w:r w:rsidR="00E32181">
        <w:rPr>
          <w:rFonts w:ascii="Arial" w:eastAsia="Times New Roman" w:hAnsi="Arial" w:cs="Arial"/>
          <w:sz w:val="20"/>
          <w:szCs w:val="20"/>
        </w:rPr>
        <w:t>, ale ve výkonnosti zohledňuje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E32181">
        <w:rPr>
          <w:rFonts w:ascii="Arial" w:eastAsia="Times New Roman" w:hAnsi="Arial" w:cs="Arial"/>
          <w:sz w:val="20"/>
          <w:szCs w:val="20"/>
        </w:rPr>
        <w:t xml:space="preserve">i dluhopisové fondy investující </w:t>
      </w:r>
      <w:r>
        <w:rPr>
          <w:rFonts w:ascii="Arial" w:eastAsia="Times New Roman" w:hAnsi="Arial" w:cs="Arial"/>
          <w:sz w:val="20"/>
          <w:szCs w:val="20"/>
        </w:rPr>
        <w:t>do státních dluhopisů různých ekonomik a také dluhopisové fondy zaměřující na rizikovější dluhopisy, ale již s menší v</w:t>
      </w:r>
      <w:r w:rsidR="00E32181">
        <w:rPr>
          <w:rFonts w:ascii="Arial" w:eastAsia="Times New Roman" w:hAnsi="Arial" w:cs="Arial"/>
          <w:sz w:val="20"/>
          <w:szCs w:val="20"/>
        </w:rPr>
        <w:t>a</w:t>
      </w:r>
      <w:r>
        <w:rPr>
          <w:rFonts w:ascii="Arial" w:eastAsia="Times New Roman" w:hAnsi="Arial" w:cs="Arial"/>
          <w:sz w:val="20"/>
          <w:szCs w:val="20"/>
        </w:rPr>
        <w:t xml:space="preserve">hou. U peněžních fondů </w:t>
      </w:r>
      <w:r w:rsidR="00E32181">
        <w:rPr>
          <w:rFonts w:ascii="Arial" w:eastAsia="Times New Roman" w:hAnsi="Arial" w:cs="Arial"/>
          <w:sz w:val="20"/>
          <w:szCs w:val="20"/>
        </w:rPr>
        <w:t>a nemovitostních fondů je sledována</w:t>
      </w:r>
      <w:r>
        <w:rPr>
          <w:rFonts w:ascii="Arial" w:eastAsia="Times New Roman" w:hAnsi="Arial" w:cs="Arial"/>
          <w:sz w:val="20"/>
          <w:szCs w:val="20"/>
        </w:rPr>
        <w:t xml:space="preserve"> pouze výkonnost českých podílových fondů.</w:t>
      </w:r>
    </w:p>
    <w:p w14:paraId="7CEC62BD" w14:textId="5F5C84A3" w:rsidR="00265810" w:rsidRDefault="00265810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64BF3F06" w14:textId="03BCCC0B" w:rsidR="003805E6" w:rsidRPr="00957DEA" w:rsidRDefault="003805E6" w:rsidP="00A12A99">
      <w:pPr>
        <w:jc w:val="both"/>
        <w:rPr>
          <w:rFonts w:ascii="Arial" w:hAnsi="Arial" w:cs="Arial"/>
          <w:sz w:val="20"/>
          <w:szCs w:val="20"/>
        </w:rPr>
      </w:pPr>
      <w:r w:rsidRPr="00957DEA">
        <w:rPr>
          <w:rFonts w:ascii="Arial" w:hAnsi="Arial" w:cs="Arial"/>
          <w:b/>
          <w:sz w:val="20"/>
          <w:szCs w:val="20"/>
        </w:rPr>
        <w:t xml:space="preserve">Proč je dobré index sledovat: </w:t>
      </w:r>
      <w:r w:rsidRPr="00957DEA">
        <w:rPr>
          <w:rFonts w:ascii="Arial" w:hAnsi="Arial" w:cs="Arial"/>
          <w:sz w:val="20"/>
          <w:szCs w:val="20"/>
        </w:rPr>
        <w:t xml:space="preserve">Čeští investoři mají v podílových fondech zainvestován majetek ve výši zhruba 557 miliard korun. Fondy jsou velmi využívanou platformou pro dlouhodobé investování, zejména při vytváření rezerv pro období </w:t>
      </w:r>
      <w:proofErr w:type="spellStart"/>
      <w:r w:rsidRPr="00957DEA">
        <w:rPr>
          <w:rFonts w:ascii="Arial" w:hAnsi="Arial" w:cs="Arial"/>
          <w:sz w:val="20"/>
          <w:szCs w:val="20"/>
        </w:rPr>
        <w:t>postaktivního</w:t>
      </w:r>
      <w:proofErr w:type="spellEnd"/>
      <w:r w:rsidRPr="00957DEA">
        <w:rPr>
          <w:rFonts w:ascii="Arial" w:hAnsi="Arial" w:cs="Arial"/>
          <w:sz w:val="20"/>
          <w:szCs w:val="20"/>
        </w:rPr>
        <w:t xml:space="preserve"> věku (60+). Index ukazuje, jak se vede fondům dle jednotlivých tříd investičních aktiv. Investoři si mohou mimo jiné srovnávat,  jak si jimi vybrané fondy vedou v porovnání s průměrem trhu.</w:t>
      </w:r>
    </w:p>
    <w:p w14:paraId="3C780D18" w14:textId="5825F29D" w:rsidR="00D60D98" w:rsidRDefault="00D60D98" w:rsidP="00A12A99">
      <w:pPr>
        <w:jc w:val="both"/>
        <w:rPr>
          <w:sz w:val="20"/>
        </w:rPr>
      </w:pPr>
    </w:p>
    <w:p w14:paraId="42D95A89" w14:textId="77777777" w:rsidR="00D60D98" w:rsidRDefault="00D60D98" w:rsidP="00A12A99">
      <w:pPr>
        <w:jc w:val="both"/>
        <w:rPr>
          <w:sz w:val="20"/>
        </w:rPr>
      </w:pPr>
    </w:p>
    <w:p w14:paraId="30A655D4" w14:textId="253E2C1A" w:rsidR="00D60D98" w:rsidRDefault="00D60D98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5D2E985E" w14:textId="77777777" w:rsidR="00957DEA" w:rsidRPr="00D60D98" w:rsidRDefault="00957DEA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7C1907C0" w14:textId="77777777" w:rsidR="00D60D98" w:rsidRDefault="00D60D98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  <w:r w:rsidRPr="00D60D98">
        <w:rPr>
          <w:rFonts w:ascii="Arial" w:eastAsia="Calibri" w:hAnsi="Arial" w:cs="Arial"/>
          <w:b/>
          <w:bCs/>
          <w:noProof/>
          <w:sz w:val="20"/>
          <w:szCs w:val="20"/>
        </w:rPr>
        <w:t>Kontakt pro média:</w:t>
      </w:r>
    </w:p>
    <w:p w14:paraId="259AB6B0" w14:textId="6E4F87C8" w:rsidR="00D60D98" w:rsidRPr="00957DEA" w:rsidRDefault="00D60D98" w:rsidP="00A12A99">
      <w:pPr>
        <w:jc w:val="both"/>
        <w:rPr>
          <w:rFonts w:ascii="Arial" w:eastAsia="Calibri" w:hAnsi="Arial" w:cs="Arial"/>
          <w:bCs/>
          <w:noProof/>
          <w:sz w:val="20"/>
          <w:szCs w:val="20"/>
          <w:lang w:bidi="ar-SA"/>
        </w:rPr>
      </w:pPr>
      <w:r w:rsidRPr="00957DEA">
        <w:rPr>
          <w:sz w:val="20"/>
        </w:rPr>
        <w:br/>
      </w:r>
      <w:r w:rsidRPr="00957DEA">
        <w:rPr>
          <w:rFonts w:ascii="Arial" w:eastAsia="Calibri" w:hAnsi="Arial" w:cs="Arial"/>
          <w:bCs/>
          <w:noProof/>
          <w:sz w:val="20"/>
          <w:szCs w:val="20"/>
        </w:rPr>
        <w:t>Tereza Kunová</w:t>
      </w:r>
    </w:p>
    <w:p w14:paraId="7866AA4E" w14:textId="77777777" w:rsidR="00E32181" w:rsidRDefault="00D60D98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 w:rsidRPr="00957DEA">
        <w:rPr>
          <w:rFonts w:ascii="Arial" w:eastAsia="Calibri" w:hAnsi="Arial" w:cs="Arial"/>
          <w:noProof/>
          <w:sz w:val="20"/>
          <w:szCs w:val="20"/>
        </w:rPr>
        <w:t xml:space="preserve">Specialistka PR a </w:t>
      </w:r>
      <w:r w:rsidRPr="00E32181">
        <w:rPr>
          <w:rFonts w:ascii="Arial" w:eastAsia="Calibri" w:hAnsi="Arial" w:cs="Arial"/>
          <w:bCs/>
          <w:noProof/>
          <w:sz w:val="20"/>
          <w:szCs w:val="20"/>
        </w:rPr>
        <w:t>externí komunikace</w:t>
      </w:r>
    </w:p>
    <w:p w14:paraId="55796197" w14:textId="55A61B97" w:rsidR="00E32181" w:rsidRDefault="008D397B" w:rsidP="00E32181">
      <w:pPr>
        <w:pStyle w:val="Bezmezer"/>
        <w:rPr>
          <w:rFonts w:ascii="Arial" w:eastAsia="Calibri" w:hAnsi="Arial" w:cs="Arial"/>
          <w:noProof/>
          <w:sz w:val="20"/>
          <w:szCs w:val="20"/>
        </w:rPr>
      </w:pPr>
      <w:r w:rsidRPr="00E32181">
        <w:rPr>
          <w:rFonts w:ascii="Arial" w:eastAsia="Calibri" w:hAnsi="Arial" w:cs="Arial"/>
          <w:bCs/>
          <w:noProof/>
          <w:sz w:val="20"/>
          <w:szCs w:val="20"/>
        </w:rPr>
        <w:t>Mobil: +420</w:t>
      </w:r>
      <w:r w:rsidRPr="00E32181">
        <w:rPr>
          <w:rFonts w:ascii="Arial" w:eastAsia="Calibri" w:hAnsi="Arial" w:cs="Arial"/>
          <w:noProof/>
          <w:sz w:val="20"/>
          <w:szCs w:val="20"/>
        </w:rPr>
        <w:t> 731 537</w:t>
      </w:r>
      <w:r w:rsidR="00E32181">
        <w:rPr>
          <w:rFonts w:ascii="Arial" w:eastAsia="Calibri" w:hAnsi="Arial" w:cs="Arial"/>
          <w:noProof/>
          <w:sz w:val="20"/>
          <w:szCs w:val="20"/>
        </w:rPr>
        <w:t> </w:t>
      </w:r>
      <w:r w:rsidRPr="00E32181">
        <w:rPr>
          <w:rFonts w:ascii="Arial" w:eastAsia="Calibri" w:hAnsi="Arial" w:cs="Arial"/>
          <w:noProof/>
          <w:sz w:val="20"/>
          <w:szCs w:val="20"/>
        </w:rPr>
        <w:t>716</w:t>
      </w:r>
    </w:p>
    <w:p w14:paraId="7F1C61B2" w14:textId="3B58B736" w:rsidR="008D397B" w:rsidRPr="00E32181" w:rsidRDefault="008D397B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 w:rsidRPr="00E32181">
        <w:rPr>
          <w:rFonts w:ascii="Arial" w:eastAsia="Calibri" w:hAnsi="Arial" w:cs="Arial"/>
          <w:noProof/>
          <w:sz w:val="20"/>
          <w:szCs w:val="20"/>
        </w:rPr>
        <w:t xml:space="preserve">E-mail: </w:t>
      </w:r>
      <w:hyperlink r:id="rId26" w:history="1">
        <w:r w:rsidRPr="00E32181">
          <w:rPr>
            <w:rStyle w:val="Hypertextovodkaz"/>
            <w:rFonts w:ascii="Arial" w:eastAsia="Calibri" w:hAnsi="Arial" w:cs="Arial"/>
            <w:noProof/>
            <w:sz w:val="20"/>
            <w:szCs w:val="20"/>
          </w:rPr>
          <w:t>tereza.kunova@bcas.cz</w:t>
        </w:r>
      </w:hyperlink>
      <w:r w:rsidRPr="00E32181">
        <w:rPr>
          <w:rFonts w:ascii="Arial" w:eastAsia="Calibri" w:hAnsi="Arial" w:cs="Arial"/>
          <w:noProof/>
          <w:sz w:val="20"/>
          <w:szCs w:val="20"/>
        </w:rPr>
        <w:t xml:space="preserve"> </w:t>
      </w:r>
    </w:p>
    <w:p w14:paraId="025F1B2F" w14:textId="5313D60C" w:rsidR="00D60D98" w:rsidRPr="009F59EE" w:rsidRDefault="00D60D98" w:rsidP="00A12A99">
      <w:pPr>
        <w:jc w:val="both"/>
        <w:rPr>
          <w:sz w:val="20"/>
        </w:rPr>
      </w:pPr>
    </w:p>
    <w:sectPr w:rsidR="00D60D98" w:rsidRPr="009F59EE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B8F277" w14:textId="77777777" w:rsidR="00991554" w:rsidRDefault="00991554">
      <w:r>
        <w:separator/>
      </w:r>
    </w:p>
  </w:endnote>
  <w:endnote w:type="continuationSeparator" w:id="0">
    <w:p w14:paraId="36D2E770" w14:textId="77777777" w:rsidR="00991554" w:rsidRDefault="00991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991554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38FC45A8" w14:textId="16B40CAC" w:rsidR="00D80B6D" w:rsidRPr="00081616" w:rsidRDefault="00BD3970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991554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11E61A37" w14:textId="77777777" w:rsidR="00D80B6D" w:rsidRPr="00E95698" w:rsidRDefault="00BD3970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991554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663644D1" w14:textId="77777777" w:rsidR="00D80B6D" w:rsidRPr="00943B58" w:rsidRDefault="00BD3970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A2CB72" w14:textId="77777777" w:rsidR="00991554" w:rsidRDefault="00991554">
      <w:r>
        <w:separator/>
      </w:r>
    </w:p>
  </w:footnote>
  <w:footnote w:type="continuationSeparator" w:id="0">
    <w:p w14:paraId="6A711627" w14:textId="77777777" w:rsidR="00991554" w:rsidRDefault="009915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E95698" w:rsidRDefault="00D80B6D" w:rsidP="00E95698">
    <w:pPr>
      <w:tabs>
        <w:tab w:val="left" w:pos="8633"/>
      </w:tabs>
      <w:spacing w:before="80"/>
      <w:ind w:firstLine="2880"/>
      <w:rPr>
        <w:rFonts w:ascii="Arial" w:hAnsi="Arial" w:cs="Arial"/>
        <w:sz w:val="52"/>
      </w:rPr>
    </w:pPr>
    <w:r w:rsidRPr="00E95698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E95698">
      <w:rPr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95698">
      <w:rPr>
        <w:rFonts w:ascii="Arial" w:hAnsi="Arial" w:cs="Arial"/>
        <w:color w:val="1D1D1B"/>
        <w:sz w:val="48"/>
      </w:rPr>
      <w:t xml:space="preserve">BROKER CONSULTING </w:t>
    </w:r>
    <w:r w:rsidRPr="00E95698">
      <w:rPr>
        <w:rFonts w:ascii="Arial" w:hAnsi="Arial" w:cs="Arial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080E7B52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2AE1FBD7" w14:textId="2E9D9ACF" w:rsidR="00B65A3B" w:rsidRDefault="009F2CEE" w:rsidP="009F2CEE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PODÍLOVÝCH FONDŮ</w:t>
    </w:r>
  </w:p>
  <w:p w14:paraId="6F48BC81" w14:textId="77777777" w:rsidR="00A02308" w:rsidRPr="00B65A3B" w:rsidRDefault="00A02308" w:rsidP="009F2CEE">
    <w:pPr>
      <w:spacing w:before="85"/>
      <w:ind w:left="1440" w:firstLine="720"/>
      <w:rPr>
        <w:rFonts w:ascii="Arial" w:hAnsi="Arial" w:cs="Arial"/>
        <w:sz w:val="28"/>
        <w:szCs w:val="2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B65A3B" w:rsidRDefault="009F59EE" w:rsidP="009F59EE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07739BB1" w14:textId="6D5E6F51" w:rsidR="00D80B6D" w:rsidRPr="009F59EE" w:rsidRDefault="009F59EE" w:rsidP="009F59EE">
    <w:pPr>
      <w:spacing w:before="85"/>
      <w:ind w:left="1440" w:firstLine="720"/>
      <w:rPr>
        <w:rFonts w:ascii="Arial" w:hAnsi="Arial" w:cs="Arial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 w:rsidR="009F2CEE">
      <w:rPr>
        <w:rFonts w:ascii="Arial" w:hAnsi="Arial" w:cs="Arial"/>
        <w:color w:val="E52713"/>
        <w:sz w:val="28"/>
        <w:szCs w:val="28"/>
      </w:rPr>
      <w:t>PODÍLOVÝCH FONDŮ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1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20EC7"/>
    <w:rsid w:val="00026F23"/>
    <w:rsid w:val="000277AC"/>
    <w:rsid w:val="0003028F"/>
    <w:rsid w:val="00032D62"/>
    <w:rsid w:val="00032D94"/>
    <w:rsid w:val="000374D7"/>
    <w:rsid w:val="00037DAF"/>
    <w:rsid w:val="000400E4"/>
    <w:rsid w:val="0005423A"/>
    <w:rsid w:val="00054A18"/>
    <w:rsid w:val="000600DC"/>
    <w:rsid w:val="000611E3"/>
    <w:rsid w:val="00070DAC"/>
    <w:rsid w:val="00073AD9"/>
    <w:rsid w:val="000766E7"/>
    <w:rsid w:val="00081616"/>
    <w:rsid w:val="000853D4"/>
    <w:rsid w:val="0009776B"/>
    <w:rsid w:val="000A60B9"/>
    <w:rsid w:val="000B060E"/>
    <w:rsid w:val="000D14E2"/>
    <w:rsid w:val="000E3D86"/>
    <w:rsid w:val="000E79A9"/>
    <w:rsid w:val="000F5AB4"/>
    <w:rsid w:val="000F6249"/>
    <w:rsid w:val="001068FC"/>
    <w:rsid w:val="001103A6"/>
    <w:rsid w:val="00111C28"/>
    <w:rsid w:val="00114C29"/>
    <w:rsid w:val="001152A6"/>
    <w:rsid w:val="00117FB4"/>
    <w:rsid w:val="00122CD1"/>
    <w:rsid w:val="001253CC"/>
    <w:rsid w:val="0013044E"/>
    <w:rsid w:val="00131A69"/>
    <w:rsid w:val="00136D8D"/>
    <w:rsid w:val="00137003"/>
    <w:rsid w:val="0013717C"/>
    <w:rsid w:val="00145B8B"/>
    <w:rsid w:val="001464F4"/>
    <w:rsid w:val="00156082"/>
    <w:rsid w:val="00161879"/>
    <w:rsid w:val="00162672"/>
    <w:rsid w:val="001675AF"/>
    <w:rsid w:val="0017084B"/>
    <w:rsid w:val="001767A5"/>
    <w:rsid w:val="00180D72"/>
    <w:rsid w:val="00192716"/>
    <w:rsid w:val="0019453C"/>
    <w:rsid w:val="001A54DD"/>
    <w:rsid w:val="001A5E76"/>
    <w:rsid w:val="001B501B"/>
    <w:rsid w:val="001D015A"/>
    <w:rsid w:val="001D3DFC"/>
    <w:rsid w:val="001E4209"/>
    <w:rsid w:val="001F7194"/>
    <w:rsid w:val="001F71BA"/>
    <w:rsid w:val="002141AF"/>
    <w:rsid w:val="002368F3"/>
    <w:rsid w:val="002368FB"/>
    <w:rsid w:val="00241313"/>
    <w:rsid w:val="0025264B"/>
    <w:rsid w:val="0025428A"/>
    <w:rsid w:val="00265810"/>
    <w:rsid w:val="0026621E"/>
    <w:rsid w:val="00270DB3"/>
    <w:rsid w:val="00276C57"/>
    <w:rsid w:val="002831A1"/>
    <w:rsid w:val="00295407"/>
    <w:rsid w:val="00297CEA"/>
    <w:rsid w:val="002A5439"/>
    <w:rsid w:val="002B43B8"/>
    <w:rsid w:val="002C35D8"/>
    <w:rsid w:val="002D2A18"/>
    <w:rsid w:val="002D539D"/>
    <w:rsid w:val="002D7A2E"/>
    <w:rsid w:val="002F002B"/>
    <w:rsid w:val="002F3074"/>
    <w:rsid w:val="002F485A"/>
    <w:rsid w:val="002F7EC2"/>
    <w:rsid w:val="00307E95"/>
    <w:rsid w:val="00310DBC"/>
    <w:rsid w:val="003128F8"/>
    <w:rsid w:val="003247B0"/>
    <w:rsid w:val="00330918"/>
    <w:rsid w:val="003326F9"/>
    <w:rsid w:val="00334048"/>
    <w:rsid w:val="00342F85"/>
    <w:rsid w:val="00347557"/>
    <w:rsid w:val="00347D68"/>
    <w:rsid w:val="00352515"/>
    <w:rsid w:val="00355366"/>
    <w:rsid w:val="003606E0"/>
    <w:rsid w:val="003629B6"/>
    <w:rsid w:val="003721AD"/>
    <w:rsid w:val="003805E6"/>
    <w:rsid w:val="00383DC5"/>
    <w:rsid w:val="003842CE"/>
    <w:rsid w:val="00385EED"/>
    <w:rsid w:val="00390B58"/>
    <w:rsid w:val="003A4F52"/>
    <w:rsid w:val="003A5757"/>
    <w:rsid w:val="003A6435"/>
    <w:rsid w:val="003B0E4F"/>
    <w:rsid w:val="003C0CBE"/>
    <w:rsid w:val="003D10B1"/>
    <w:rsid w:val="003D1987"/>
    <w:rsid w:val="003E64E9"/>
    <w:rsid w:val="003E7356"/>
    <w:rsid w:val="003F0400"/>
    <w:rsid w:val="003F1100"/>
    <w:rsid w:val="003F79EC"/>
    <w:rsid w:val="00403571"/>
    <w:rsid w:val="00413BEC"/>
    <w:rsid w:val="00417787"/>
    <w:rsid w:val="00421847"/>
    <w:rsid w:val="0042193A"/>
    <w:rsid w:val="00421BEC"/>
    <w:rsid w:val="004313F1"/>
    <w:rsid w:val="00445D0A"/>
    <w:rsid w:val="00454843"/>
    <w:rsid w:val="004627B9"/>
    <w:rsid w:val="004632E5"/>
    <w:rsid w:val="004766EC"/>
    <w:rsid w:val="00497374"/>
    <w:rsid w:val="004B5797"/>
    <w:rsid w:val="004C3F71"/>
    <w:rsid w:val="004C7DDE"/>
    <w:rsid w:val="004E55FE"/>
    <w:rsid w:val="004E7AEB"/>
    <w:rsid w:val="004E7E0B"/>
    <w:rsid w:val="00505697"/>
    <w:rsid w:val="0050659B"/>
    <w:rsid w:val="00512B46"/>
    <w:rsid w:val="005153F7"/>
    <w:rsid w:val="005218FE"/>
    <w:rsid w:val="005224C1"/>
    <w:rsid w:val="0053153F"/>
    <w:rsid w:val="00536954"/>
    <w:rsid w:val="00540606"/>
    <w:rsid w:val="00541870"/>
    <w:rsid w:val="005436EC"/>
    <w:rsid w:val="00544A37"/>
    <w:rsid w:val="0055263D"/>
    <w:rsid w:val="005575DE"/>
    <w:rsid w:val="005663AE"/>
    <w:rsid w:val="00576F53"/>
    <w:rsid w:val="00577D19"/>
    <w:rsid w:val="005966D4"/>
    <w:rsid w:val="005A3473"/>
    <w:rsid w:val="005A37E5"/>
    <w:rsid w:val="005A481B"/>
    <w:rsid w:val="005A5BBA"/>
    <w:rsid w:val="005A5F08"/>
    <w:rsid w:val="005B24EB"/>
    <w:rsid w:val="005B31D7"/>
    <w:rsid w:val="005C22F8"/>
    <w:rsid w:val="005C5B9E"/>
    <w:rsid w:val="005E51C5"/>
    <w:rsid w:val="005E7952"/>
    <w:rsid w:val="005F0E46"/>
    <w:rsid w:val="005F2623"/>
    <w:rsid w:val="005F6C1E"/>
    <w:rsid w:val="005F7090"/>
    <w:rsid w:val="00603538"/>
    <w:rsid w:val="0061103B"/>
    <w:rsid w:val="0061253F"/>
    <w:rsid w:val="006135FD"/>
    <w:rsid w:val="0062480B"/>
    <w:rsid w:val="0062747C"/>
    <w:rsid w:val="006307A5"/>
    <w:rsid w:val="00630C84"/>
    <w:rsid w:val="00631E38"/>
    <w:rsid w:val="00631E80"/>
    <w:rsid w:val="006337CD"/>
    <w:rsid w:val="00633E13"/>
    <w:rsid w:val="00637BCA"/>
    <w:rsid w:val="0064160C"/>
    <w:rsid w:val="00654E3E"/>
    <w:rsid w:val="0065659A"/>
    <w:rsid w:val="0066135D"/>
    <w:rsid w:val="00667012"/>
    <w:rsid w:val="00667776"/>
    <w:rsid w:val="00670237"/>
    <w:rsid w:val="00676757"/>
    <w:rsid w:val="006768F0"/>
    <w:rsid w:val="00677078"/>
    <w:rsid w:val="0068195B"/>
    <w:rsid w:val="00683626"/>
    <w:rsid w:val="00685FBC"/>
    <w:rsid w:val="0068617E"/>
    <w:rsid w:val="00686364"/>
    <w:rsid w:val="0069177B"/>
    <w:rsid w:val="006939E4"/>
    <w:rsid w:val="006A2F6C"/>
    <w:rsid w:val="006A3BE2"/>
    <w:rsid w:val="006A4030"/>
    <w:rsid w:val="006A48F1"/>
    <w:rsid w:val="006A6681"/>
    <w:rsid w:val="006C61E8"/>
    <w:rsid w:val="006D65EC"/>
    <w:rsid w:val="006E26DC"/>
    <w:rsid w:val="006F052D"/>
    <w:rsid w:val="006F32FB"/>
    <w:rsid w:val="00705D83"/>
    <w:rsid w:val="0071058C"/>
    <w:rsid w:val="0072112F"/>
    <w:rsid w:val="00732F8D"/>
    <w:rsid w:val="0073328E"/>
    <w:rsid w:val="0073706E"/>
    <w:rsid w:val="007373A6"/>
    <w:rsid w:val="0073790D"/>
    <w:rsid w:val="00737D83"/>
    <w:rsid w:val="00757D8B"/>
    <w:rsid w:val="00761D9B"/>
    <w:rsid w:val="00771B91"/>
    <w:rsid w:val="00771DFE"/>
    <w:rsid w:val="007824F4"/>
    <w:rsid w:val="00784109"/>
    <w:rsid w:val="00785FC5"/>
    <w:rsid w:val="0078631B"/>
    <w:rsid w:val="00786BA5"/>
    <w:rsid w:val="00791A2B"/>
    <w:rsid w:val="00792EE9"/>
    <w:rsid w:val="0079572A"/>
    <w:rsid w:val="007A1121"/>
    <w:rsid w:val="007A1122"/>
    <w:rsid w:val="007A15A6"/>
    <w:rsid w:val="007A5987"/>
    <w:rsid w:val="007B026B"/>
    <w:rsid w:val="007B232E"/>
    <w:rsid w:val="007B358E"/>
    <w:rsid w:val="007B435F"/>
    <w:rsid w:val="007B6899"/>
    <w:rsid w:val="007D29E5"/>
    <w:rsid w:val="007E1FBA"/>
    <w:rsid w:val="007E5614"/>
    <w:rsid w:val="008005EB"/>
    <w:rsid w:val="00807CDD"/>
    <w:rsid w:val="00812E77"/>
    <w:rsid w:val="0081387C"/>
    <w:rsid w:val="0081466F"/>
    <w:rsid w:val="00821B36"/>
    <w:rsid w:val="0083053E"/>
    <w:rsid w:val="00831B5E"/>
    <w:rsid w:val="00833A44"/>
    <w:rsid w:val="00833ECF"/>
    <w:rsid w:val="00835880"/>
    <w:rsid w:val="0084178F"/>
    <w:rsid w:val="00845A34"/>
    <w:rsid w:val="00846F99"/>
    <w:rsid w:val="00851C45"/>
    <w:rsid w:val="00863B54"/>
    <w:rsid w:val="00870F82"/>
    <w:rsid w:val="00883A3E"/>
    <w:rsid w:val="00885B2F"/>
    <w:rsid w:val="00886F0E"/>
    <w:rsid w:val="00890117"/>
    <w:rsid w:val="008926E5"/>
    <w:rsid w:val="008926F3"/>
    <w:rsid w:val="00892C78"/>
    <w:rsid w:val="00893577"/>
    <w:rsid w:val="008A04D3"/>
    <w:rsid w:val="008A14E4"/>
    <w:rsid w:val="008B480A"/>
    <w:rsid w:val="008C1795"/>
    <w:rsid w:val="008C4B0D"/>
    <w:rsid w:val="008C6335"/>
    <w:rsid w:val="008D397B"/>
    <w:rsid w:val="008E19F3"/>
    <w:rsid w:val="008F241C"/>
    <w:rsid w:val="008F6AAF"/>
    <w:rsid w:val="00906176"/>
    <w:rsid w:val="00906E67"/>
    <w:rsid w:val="00915ADA"/>
    <w:rsid w:val="009222C9"/>
    <w:rsid w:val="00932625"/>
    <w:rsid w:val="009344C2"/>
    <w:rsid w:val="00935552"/>
    <w:rsid w:val="00941B52"/>
    <w:rsid w:val="0094705C"/>
    <w:rsid w:val="00957B41"/>
    <w:rsid w:val="00957DEA"/>
    <w:rsid w:val="00977040"/>
    <w:rsid w:val="0098121D"/>
    <w:rsid w:val="00982987"/>
    <w:rsid w:val="00991554"/>
    <w:rsid w:val="009A69B1"/>
    <w:rsid w:val="009C0ECA"/>
    <w:rsid w:val="009C0F81"/>
    <w:rsid w:val="009C45BA"/>
    <w:rsid w:val="009D05AD"/>
    <w:rsid w:val="009D2821"/>
    <w:rsid w:val="009D2ECE"/>
    <w:rsid w:val="009D68F9"/>
    <w:rsid w:val="009E317D"/>
    <w:rsid w:val="009E3B52"/>
    <w:rsid w:val="009F2CB2"/>
    <w:rsid w:val="009F2CEE"/>
    <w:rsid w:val="009F59EE"/>
    <w:rsid w:val="009F5B6E"/>
    <w:rsid w:val="00A02308"/>
    <w:rsid w:val="00A025BA"/>
    <w:rsid w:val="00A069E2"/>
    <w:rsid w:val="00A11C0F"/>
    <w:rsid w:val="00A11C90"/>
    <w:rsid w:val="00A12A99"/>
    <w:rsid w:val="00A13346"/>
    <w:rsid w:val="00A2214C"/>
    <w:rsid w:val="00A30D93"/>
    <w:rsid w:val="00A31FAC"/>
    <w:rsid w:val="00A36D79"/>
    <w:rsid w:val="00A36E5B"/>
    <w:rsid w:val="00A40B94"/>
    <w:rsid w:val="00A4618A"/>
    <w:rsid w:val="00A55E01"/>
    <w:rsid w:val="00A61996"/>
    <w:rsid w:val="00A726DE"/>
    <w:rsid w:val="00A75776"/>
    <w:rsid w:val="00A77932"/>
    <w:rsid w:val="00A7796E"/>
    <w:rsid w:val="00A80480"/>
    <w:rsid w:val="00A82DA1"/>
    <w:rsid w:val="00AA1259"/>
    <w:rsid w:val="00AA218A"/>
    <w:rsid w:val="00AC614D"/>
    <w:rsid w:val="00AE548F"/>
    <w:rsid w:val="00B058E3"/>
    <w:rsid w:val="00B0678D"/>
    <w:rsid w:val="00B11974"/>
    <w:rsid w:val="00B12CF8"/>
    <w:rsid w:val="00B15519"/>
    <w:rsid w:val="00B244B9"/>
    <w:rsid w:val="00B27178"/>
    <w:rsid w:val="00B41CE5"/>
    <w:rsid w:val="00B42E81"/>
    <w:rsid w:val="00B43ABC"/>
    <w:rsid w:val="00B47199"/>
    <w:rsid w:val="00B51125"/>
    <w:rsid w:val="00B52CDF"/>
    <w:rsid w:val="00B65A3B"/>
    <w:rsid w:val="00B731F5"/>
    <w:rsid w:val="00B75627"/>
    <w:rsid w:val="00B80A35"/>
    <w:rsid w:val="00B87498"/>
    <w:rsid w:val="00B90112"/>
    <w:rsid w:val="00B90487"/>
    <w:rsid w:val="00B927D5"/>
    <w:rsid w:val="00B95BB2"/>
    <w:rsid w:val="00B95EBA"/>
    <w:rsid w:val="00BA1FA3"/>
    <w:rsid w:val="00BA23D8"/>
    <w:rsid w:val="00BA7889"/>
    <w:rsid w:val="00BB1CB8"/>
    <w:rsid w:val="00BB3F93"/>
    <w:rsid w:val="00BB4D49"/>
    <w:rsid w:val="00BB6439"/>
    <w:rsid w:val="00BB675F"/>
    <w:rsid w:val="00BD17B0"/>
    <w:rsid w:val="00BD3970"/>
    <w:rsid w:val="00BD5A47"/>
    <w:rsid w:val="00BE1DA6"/>
    <w:rsid w:val="00BF4A15"/>
    <w:rsid w:val="00BF6A33"/>
    <w:rsid w:val="00BF7A45"/>
    <w:rsid w:val="00C23E32"/>
    <w:rsid w:val="00C31207"/>
    <w:rsid w:val="00C36515"/>
    <w:rsid w:val="00C42FAF"/>
    <w:rsid w:val="00C54507"/>
    <w:rsid w:val="00C57D56"/>
    <w:rsid w:val="00C60B08"/>
    <w:rsid w:val="00C864DC"/>
    <w:rsid w:val="00C878E5"/>
    <w:rsid w:val="00CA1722"/>
    <w:rsid w:val="00CA4711"/>
    <w:rsid w:val="00CA6621"/>
    <w:rsid w:val="00CB18B1"/>
    <w:rsid w:val="00CB2780"/>
    <w:rsid w:val="00CB38CA"/>
    <w:rsid w:val="00CB6F2B"/>
    <w:rsid w:val="00CC1067"/>
    <w:rsid w:val="00CC580E"/>
    <w:rsid w:val="00CC5BA3"/>
    <w:rsid w:val="00CC727D"/>
    <w:rsid w:val="00CD3324"/>
    <w:rsid w:val="00CE6C6E"/>
    <w:rsid w:val="00D01832"/>
    <w:rsid w:val="00D118CC"/>
    <w:rsid w:val="00D21C96"/>
    <w:rsid w:val="00D21E1C"/>
    <w:rsid w:val="00D30854"/>
    <w:rsid w:val="00D31127"/>
    <w:rsid w:val="00D32EE1"/>
    <w:rsid w:val="00D33258"/>
    <w:rsid w:val="00D50703"/>
    <w:rsid w:val="00D60D98"/>
    <w:rsid w:val="00D750F3"/>
    <w:rsid w:val="00D76C6E"/>
    <w:rsid w:val="00D80B6D"/>
    <w:rsid w:val="00D8513A"/>
    <w:rsid w:val="00D85BBB"/>
    <w:rsid w:val="00D94CEA"/>
    <w:rsid w:val="00D9690A"/>
    <w:rsid w:val="00DA13A4"/>
    <w:rsid w:val="00DA7B87"/>
    <w:rsid w:val="00DB37EF"/>
    <w:rsid w:val="00DB63D9"/>
    <w:rsid w:val="00DB7E77"/>
    <w:rsid w:val="00DC30D0"/>
    <w:rsid w:val="00DC3F71"/>
    <w:rsid w:val="00DD4BDD"/>
    <w:rsid w:val="00DE5847"/>
    <w:rsid w:val="00DE69CC"/>
    <w:rsid w:val="00E00DC6"/>
    <w:rsid w:val="00E058A3"/>
    <w:rsid w:val="00E151F3"/>
    <w:rsid w:val="00E15A82"/>
    <w:rsid w:val="00E17539"/>
    <w:rsid w:val="00E32181"/>
    <w:rsid w:val="00E57F9B"/>
    <w:rsid w:val="00E6319B"/>
    <w:rsid w:val="00E64D70"/>
    <w:rsid w:val="00E6726D"/>
    <w:rsid w:val="00E67581"/>
    <w:rsid w:val="00E81433"/>
    <w:rsid w:val="00E81C95"/>
    <w:rsid w:val="00E852A3"/>
    <w:rsid w:val="00E855B1"/>
    <w:rsid w:val="00E909E2"/>
    <w:rsid w:val="00E92A9E"/>
    <w:rsid w:val="00E97A43"/>
    <w:rsid w:val="00EA0C1C"/>
    <w:rsid w:val="00EA477A"/>
    <w:rsid w:val="00EC2121"/>
    <w:rsid w:val="00EC3BD3"/>
    <w:rsid w:val="00EC73D3"/>
    <w:rsid w:val="00EC7F0E"/>
    <w:rsid w:val="00ED2D1F"/>
    <w:rsid w:val="00ED58E9"/>
    <w:rsid w:val="00ED79D6"/>
    <w:rsid w:val="00EE1831"/>
    <w:rsid w:val="00EF2F7C"/>
    <w:rsid w:val="00F00576"/>
    <w:rsid w:val="00F1156B"/>
    <w:rsid w:val="00F123DF"/>
    <w:rsid w:val="00F14982"/>
    <w:rsid w:val="00F17CF8"/>
    <w:rsid w:val="00F225DC"/>
    <w:rsid w:val="00F23006"/>
    <w:rsid w:val="00F2598D"/>
    <w:rsid w:val="00F336A2"/>
    <w:rsid w:val="00F360BC"/>
    <w:rsid w:val="00F42045"/>
    <w:rsid w:val="00F44AEB"/>
    <w:rsid w:val="00F45620"/>
    <w:rsid w:val="00F53DEC"/>
    <w:rsid w:val="00F5470D"/>
    <w:rsid w:val="00F63CCA"/>
    <w:rsid w:val="00F64000"/>
    <w:rsid w:val="00F852D9"/>
    <w:rsid w:val="00F87177"/>
    <w:rsid w:val="00F9173C"/>
    <w:rsid w:val="00F9256E"/>
    <w:rsid w:val="00F96EED"/>
    <w:rsid w:val="00FB18D0"/>
    <w:rsid w:val="00FB2ED6"/>
    <w:rsid w:val="00FC2522"/>
    <w:rsid w:val="00FC31B6"/>
    <w:rsid w:val="00FC4324"/>
    <w:rsid w:val="00FC5B56"/>
    <w:rsid w:val="00FD4B12"/>
    <w:rsid w:val="00FD7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semiHidden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7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footer" Target="footer1.xml"/><Relationship Id="rId26" Type="http://schemas.openxmlformats.org/officeDocument/2006/relationships/hyperlink" Target="mailto:tereza.kunova@bcas.cz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28" Type="http://schemas.openxmlformats.org/officeDocument/2006/relationships/theme" Target="theme/theme1.xml"/><Relationship Id="rId10" Type="http://schemas.openxmlformats.org/officeDocument/2006/relationships/hyperlink" Target="http://okpointy.cz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DCFA4A-78A5-4617-96BB-7EC424A08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891</Words>
  <Characters>5261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Tereza Kunová</cp:lastModifiedBy>
  <cp:revision>7</cp:revision>
  <dcterms:created xsi:type="dcterms:W3CDTF">2021-11-08T17:21:00Z</dcterms:created>
  <dcterms:modified xsi:type="dcterms:W3CDTF">2021-11-11T09:29:00Z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