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52E7F" w14:textId="2962C4A0" w:rsidR="005F1A8B" w:rsidRPr="00E52DD7" w:rsidRDefault="005F1A8B" w:rsidP="009E2682">
      <w:pPr>
        <w:jc w:val="center"/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</w:pPr>
      <w:r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Fond </w:t>
      </w:r>
      <w:r w:rsidR="00AC03F5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OK Smart </w:t>
      </w:r>
      <w:proofErr w:type="spellStart"/>
      <w:r w:rsidR="00AC03F5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Oppor</w:t>
      </w:r>
      <w:r w:rsidR="00AA3422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t</w:t>
      </w:r>
      <w:r w:rsidR="00AC03F5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unity</w:t>
      </w:r>
      <w:proofErr w:type="spellEnd"/>
      <w:r w:rsidR="00AC03F5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</w:t>
      </w:r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má po </w:t>
      </w:r>
      <w:r w:rsidR="00E52DD7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svém</w:t>
      </w:r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prvním roce na trhu ve správě </w:t>
      </w:r>
      <w:r w:rsidR="003600F6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u</w:t>
      </w:r>
      <w:r w:rsidRPr="009070C0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ž </w:t>
      </w:r>
      <w:r w:rsidR="009070C0" w:rsidRPr="009070C0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208 mil</w:t>
      </w:r>
      <w:r w:rsidR="009070C0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ionů</w:t>
      </w:r>
      <w:r w:rsidRPr="009070C0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korun</w:t>
      </w:r>
      <w:r w:rsidR="009B73DA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</w:t>
      </w:r>
    </w:p>
    <w:p w14:paraId="469C11A3" w14:textId="77777777" w:rsidR="00BA41AE" w:rsidRDefault="00BA41AE" w:rsidP="00E34B8B">
      <w:pPr>
        <w:jc w:val="both"/>
        <w:rPr>
          <w:rFonts w:ascii="Arial" w:hAnsi="Arial" w:cs="Arial"/>
          <w:i/>
          <w:color w:val="auto"/>
          <w:sz w:val="20"/>
          <w:szCs w:val="20"/>
          <w:lang w:val="cs-CZ"/>
        </w:rPr>
      </w:pPr>
    </w:p>
    <w:p w14:paraId="5AF0474E" w14:textId="00F477FC" w:rsidR="00FF7D56" w:rsidRPr="00910BA8" w:rsidRDefault="0075657B" w:rsidP="00E34B8B">
      <w:pPr>
        <w:jc w:val="both"/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</w:pPr>
      <w:r w:rsidRPr="009E2682">
        <w:rPr>
          <w:rFonts w:ascii="Arial" w:hAnsi="Arial" w:cs="Arial"/>
          <w:i/>
          <w:color w:val="auto"/>
          <w:sz w:val="20"/>
          <w:szCs w:val="20"/>
          <w:lang w:val="cs-CZ"/>
        </w:rPr>
        <w:t xml:space="preserve">Praha </w:t>
      </w:r>
      <w:r w:rsidR="00E23FBD">
        <w:rPr>
          <w:rFonts w:ascii="Arial" w:hAnsi="Arial" w:cs="Arial"/>
          <w:i/>
          <w:color w:val="auto"/>
          <w:sz w:val="20"/>
          <w:szCs w:val="20"/>
          <w:lang w:val="cs-CZ"/>
        </w:rPr>
        <w:t>1</w:t>
      </w:r>
      <w:r w:rsidR="009B4F03">
        <w:rPr>
          <w:rFonts w:ascii="Arial" w:hAnsi="Arial" w:cs="Arial"/>
          <w:i/>
          <w:color w:val="auto"/>
          <w:sz w:val="20"/>
          <w:szCs w:val="20"/>
          <w:lang w:val="cs-CZ"/>
        </w:rPr>
        <w:t>8</w:t>
      </w:r>
      <w:r w:rsidR="0009369D">
        <w:rPr>
          <w:rFonts w:ascii="Arial" w:hAnsi="Arial" w:cs="Arial"/>
          <w:i/>
          <w:color w:val="auto"/>
          <w:sz w:val="20"/>
          <w:szCs w:val="20"/>
          <w:lang w:val="cs-CZ"/>
        </w:rPr>
        <w:t>.</w:t>
      </w:r>
      <w:r w:rsidR="007713EB">
        <w:rPr>
          <w:rFonts w:ascii="Arial" w:hAnsi="Arial" w:cs="Arial"/>
          <w:i/>
          <w:color w:val="auto"/>
          <w:sz w:val="20"/>
          <w:szCs w:val="20"/>
          <w:lang w:val="cs-CZ"/>
        </w:rPr>
        <w:t xml:space="preserve"> října</w:t>
      </w:r>
      <w:r w:rsidRPr="009E2682">
        <w:rPr>
          <w:rFonts w:ascii="Arial" w:hAnsi="Arial" w:cs="Arial"/>
          <w:i/>
          <w:color w:val="auto"/>
          <w:sz w:val="20"/>
          <w:szCs w:val="20"/>
          <w:lang w:val="cs-CZ"/>
        </w:rPr>
        <w:t xml:space="preserve"> 202</w:t>
      </w:r>
      <w:r w:rsidR="005F1A8B" w:rsidRPr="009E2682">
        <w:rPr>
          <w:rFonts w:ascii="Arial" w:hAnsi="Arial" w:cs="Arial"/>
          <w:i/>
          <w:color w:val="auto"/>
          <w:sz w:val="20"/>
          <w:szCs w:val="20"/>
          <w:lang w:val="cs-CZ"/>
        </w:rPr>
        <w:t>1</w:t>
      </w:r>
      <w:r w:rsidRPr="00910BA8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Pr="009070C0">
        <w:rPr>
          <w:rFonts w:ascii="Arial" w:hAnsi="Arial" w:cs="Arial"/>
          <w:color w:val="auto"/>
          <w:sz w:val="20"/>
          <w:szCs w:val="20"/>
          <w:lang w:val="cs-CZ"/>
        </w:rPr>
        <w:t>–</w:t>
      </w:r>
      <w:r w:rsidRPr="00910BA8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="009070C0">
        <w:rPr>
          <w:rFonts w:ascii="Arial" w:hAnsi="Arial" w:cs="Arial"/>
          <w:b/>
          <w:color w:val="auto"/>
          <w:sz w:val="20"/>
          <w:szCs w:val="20"/>
          <w:lang w:val="cs-CZ"/>
        </w:rPr>
        <w:t>V</w:t>
      </w:r>
      <w:r w:rsidR="009070C0" w:rsidRPr="009070C0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srpnu oslavil </w:t>
      </w:r>
      <w:r w:rsidR="009070C0">
        <w:rPr>
          <w:rFonts w:ascii="Arial" w:hAnsi="Arial" w:cs="Arial"/>
          <w:b/>
          <w:color w:val="auto"/>
          <w:sz w:val="20"/>
          <w:szCs w:val="20"/>
          <w:lang w:val="cs-CZ"/>
        </w:rPr>
        <w:t>s</w:t>
      </w:r>
      <w:r w:rsidR="0055423F" w:rsidRPr="00910BA8">
        <w:rPr>
          <w:rFonts w:ascii="Arial" w:hAnsi="Arial" w:cs="Arial"/>
          <w:b/>
          <w:color w:val="auto"/>
          <w:sz w:val="20"/>
          <w:szCs w:val="20"/>
          <w:lang w:val="cs-CZ"/>
        </w:rPr>
        <w:t>vé první výročí</w:t>
      </w:r>
      <w:r w:rsidR="0055423F" w:rsidRPr="009070C0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="005F1A8B" w:rsidRPr="00910BA8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fond </w:t>
      </w:r>
      <w:r w:rsidR="005F1A8B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OK Smart </w:t>
      </w:r>
      <w:proofErr w:type="spellStart"/>
      <w:r w:rsidR="005F1A8B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Opportunity</w:t>
      </w:r>
      <w:proofErr w:type="spellEnd"/>
      <w:r w:rsidR="005F1A8B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, </w:t>
      </w:r>
      <w:r w:rsidR="0009369D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který 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před rokem uvedla na trh jako svůj </w:t>
      </w:r>
      <w:r w:rsidR="008040F7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vůbec 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první fond MONECO investiční společnost</w:t>
      </w:r>
      <w:r w:rsidR="008040F7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 spadající do skupiny Broker Consulting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. </w:t>
      </w:r>
      <w:r w:rsidR="0055423F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Fond </w:t>
      </w:r>
      <w:r w:rsidR="008040F7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je určen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 zkušen</w:t>
      </w:r>
      <w:r w:rsidR="008040F7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ým investorům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, kterým </w:t>
      </w:r>
      <w:r w:rsidR="008040F7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dnes 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spravuje finanční prostředky v</w:t>
      </w:r>
      <w:r w:rsidR="00DB08BC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 celkovém 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objemu </w:t>
      </w:r>
      <w:r w:rsidR="00A31AA1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208</w:t>
      </w:r>
      <w:r w:rsidR="00C75A10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 milionů</w:t>
      </w:r>
      <w:r w:rsidR="00FF7D56" w:rsidRPr="00910BA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 korun.</w:t>
      </w:r>
    </w:p>
    <w:p w14:paraId="63C7600E" w14:textId="41EDAEBC" w:rsidR="00F13DEB" w:rsidRDefault="00391117" w:rsidP="00E34B8B">
      <w:pPr>
        <w:jc w:val="both"/>
        <w:rPr>
          <w:rStyle w:val="dn"/>
          <w:rFonts w:ascii="Arial" w:hAnsi="Arial"/>
          <w:bCs/>
          <w:color w:val="auto"/>
          <w:sz w:val="20"/>
          <w:szCs w:val="20"/>
          <w:lang w:val="cs-CZ"/>
        </w:rPr>
      </w:pPr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„Potěšilo nás, a do značné míry i překvapilo, jak velký zájem investorů vzbudil fond</w:t>
      </w:r>
      <w:r w:rsidR="00E23FBD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 </w:t>
      </w:r>
      <w:r w:rsidR="00E23FBD" w:rsidRPr="00E23FBD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OK Smart </w:t>
      </w:r>
      <w:proofErr w:type="spellStart"/>
      <w:r w:rsidR="00E23FBD" w:rsidRPr="00E23FBD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Opportunity</w:t>
      </w:r>
      <w:proofErr w:type="spellEnd"/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 během pouhého roku od založení. Navzdory složité covidové době </w:t>
      </w:r>
      <w:r w:rsidR="009E2682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využili </w:t>
      </w:r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investičních příležitost</w:t>
      </w:r>
      <w:r w:rsidR="009E2682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í</w:t>
      </w:r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, které jsou </w:t>
      </w:r>
      <w:bookmarkStart w:id="0" w:name="_GoBack"/>
      <w:bookmarkEnd w:id="0"/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jinak přístupné pouze velkým hráčům na trhu. Fond nyní spravuje finanční prostředky v celkové výši </w:t>
      </w:r>
      <w:r w:rsidR="00A31AA1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přes 200 </w:t>
      </w:r>
      <w:r w:rsidR="00F13DEB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milionů</w:t>
      </w:r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 korun, což považuji za vyni</w:t>
      </w:r>
      <w:r w:rsidR="009E2682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kající </w:t>
      </w:r>
      <w:r w:rsidRPr="00910BA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výsledek,“ </w:t>
      </w:r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komentuje úspěšn</w:t>
      </w:r>
      <w:r w:rsidR="00F720A3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é</w:t>
      </w:r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roční </w:t>
      </w:r>
      <w:r w:rsidR="00F720A3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fungování</w:t>
      </w:r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fondu </w:t>
      </w:r>
      <w:r w:rsidRPr="00910BA8">
        <w:rPr>
          <w:rStyle w:val="dn"/>
          <w:rFonts w:ascii="Arial" w:hAnsi="Arial"/>
          <w:b/>
          <w:color w:val="auto"/>
          <w:sz w:val="20"/>
          <w:szCs w:val="20"/>
          <w:lang w:val="cs-CZ"/>
        </w:rPr>
        <w:t>Jiří Šindelář</w:t>
      </w:r>
      <w:r w:rsidRPr="00BF5A91">
        <w:rPr>
          <w:rStyle w:val="dn"/>
          <w:rFonts w:ascii="Arial" w:hAnsi="Arial"/>
          <w:b/>
          <w:color w:val="auto"/>
          <w:sz w:val="20"/>
          <w:szCs w:val="20"/>
          <w:lang w:val="cs-CZ"/>
        </w:rPr>
        <w:t xml:space="preserve">, </w:t>
      </w:r>
      <w:r w:rsidR="00EC7231" w:rsidRPr="00BF5A91">
        <w:rPr>
          <w:rStyle w:val="dn"/>
          <w:rFonts w:ascii="Arial" w:hAnsi="Arial"/>
          <w:b/>
          <w:color w:val="auto"/>
          <w:sz w:val="20"/>
          <w:szCs w:val="20"/>
          <w:lang w:val="cs-CZ"/>
        </w:rPr>
        <w:t>ředitel investiční divize skupiny Broker Consulting a generální ředitel MONECO investiční společnosti</w:t>
      </w:r>
      <w:r w:rsidR="00F720A3">
        <w:rPr>
          <w:rStyle w:val="dn"/>
          <w:rFonts w:ascii="Arial" w:hAnsi="Arial"/>
          <w:color w:val="auto"/>
          <w:sz w:val="20"/>
          <w:szCs w:val="20"/>
          <w:lang w:val="cs-CZ"/>
        </w:rPr>
        <w:t>.</w:t>
      </w:r>
    </w:p>
    <w:p w14:paraId="570C3C56" w14:textId="23B614A8" w:rsidR="00BA41AE" w:rsidRDefault="00FF7D56" w:rsidP="00EC7231">
      <w:pPr>
        <w:jc w:val="both"/>
        <w:rPr>
          <w:rStyle w:val="dn"/>
          <w:rFonts w:ascii="Arial" w:hAnsi="Arial"/>
          <w:bCs/>
          <w:color w:val="auto"/>
          <w:sz w:val="20"/>
          <w:szCs w:val="20"/>
          <w:lang w:val="cs-CZ"/>
        </w:rPr>
      </w:pPr>
      <w:r w:rsidRPr="00BA41AE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OK Smart </w:t>
      </w:r>
      <w:proofErr w:type="spellStart"/>
      <w:r w:rsidRPr="00BA41AE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Opportunity</w:t>
      </w:r>
      <w:proofErr w:type="spellEnd"/>
      <w:r w:rsidR="0055423F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, který</w:t>
      </w:r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je </w:t>
      </w:r>
      <w:r w:rsidR="00C75A1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prvním </w:t>
      </w:r>
      <w:proofErr w:type="spellStart"/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podfondem</w:t>
      </w:r>
      <w:proofErr w:type="spellEnd"/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="00C75A1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Broker Consulting FKI </w:t>
      </w:r>
      <w:r w:rsidRPr="00F13DE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SICAV fondu,</w:t>
      </w:r>
      <w:r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="00F53192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využívají jako alternativní doplněk </w:t>
      </w:r>
      <w:r w:rsidR="006A7CBE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náročn</w:t>
      </w:r>
      <w:r w:rsidR="00F53192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í</w:t>
      </w:r>
      <w:r w:rsidR="006A7CBE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investo</w:t>
      </w:r>
      <w:r w:rsidR="00F53192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ři, kteří </w:t>
      </w:r>
      <w:r w:rsidR="00FC3BCF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hledají vyšší výnosový potenciál a přejí si obohatit svůj základ portfolia tvořený</w:t>
      </w:r>
      <w:r w:rsidR="007F6BFA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diverzifikovanými fondy.</w:t>
      </w:r>
      <w:r w:rsidR="00F53192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="00391117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Tento fond prop</w:t>
      </w:r>
      <w:r w:rsid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ojuje investice do financování </w:t>
      </w:r>
      <w:r w:rsidR="00391117" w:rsidRPr="00910BA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projektů</w:t>
      </w:r>
      <w:r w:rsidR="00C75A1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skupiny </w:t>
      </w:r>
      <w:r w:rsidR="00C75A10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Broker Consulting</w:t>
      </w:r>
      <w:r w:rsidR="0039111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="00CF0D82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s investicemi </w:t>
      </w:r>
      <w:r w:rsidR="0039111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do </w:t>
      </w:r>
      <w:r w:rsidR="00F25185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pestrého mixu </w:t>
      </w:r>
      <w:r w:rsidR="0039111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prověřených fondů kvalifikovaných investorů.</w:t>
      </w:r>
      <w:r w:rsidR="00391117" w:rsidRPr="00831A6D">
        <w:rPr>
          <w:rStyle w:val="dn"/>
          <w:rFonts w:ascii="Arial" w:hAnsi="Arial"/>
          <w:bCs/>
          <w:sz w:val="20"/>
          <w:szCs w:val="20"/>
          <w:lang w:val="cs-CZ"/>
        </w:rPr>
        <w:t xml:space="preserve"> </w:t>
      </w:r>
      <w:r w:rsidR="00CF0D82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Mezi ně patří například </w:t>
      </w:r>
      <w:r w:rsidR="0039111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alternativní aktiva v podobě </w:t>
      </w:r>
      <w:r w:rsidR="00A569E4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investič</w:t>
      </w:r>
      <w:r w:rsidR="0039111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ních vín, pů</w:t>
      </w:r>
      <w:r w:rsidR="00910BA8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dy, průmyslových nemovitostí či ekologických projektů.</w:t>
      </w:r>
      <w:r w:rsidR="00690622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="00E23FBD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V současné době fond </w:t>
      </w:r>
      <w:r w:rsidR="00BC04A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doplňuje portfolio o investici</w:t>
      </w:r>
      <w:r w:rsidR="00E23FBD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do realitního developmentu skrze skupinovou společnost BC Real, </w:t>
      </w:r>
      <w:r w:rsidR="00BC04A7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dlouhodobě úspěšnou zejména v plzeňském regionu</w:t>
      </w:r>
      <w:r w:rsidR="00E23FBD"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.</w:t>
      </w:r>
      <w:r w:rsidR="00E23FB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</w:p>
    <w:p w14:paraId="1B433DE9" w14:textId="77777777" w:rsidR="00EC7231" w:rsidRPr="00EC7231" w:rsidRDefault="00EC7231" w:rsidP="00EC7231">
      <w:pPr>
        <w:jc w:val="both"/>
        <w:rPr>
          <w:rStyle w:val="dn"/>
          <w:rFonts w:ascii="Arial" w:hAnsi="Arial"/>
          <w:bCs/>
          <w:color w:val="auto"/>
          <w:sz w:val="20"/>
          <w:szCs w:val="20"/>
          <w:lang w:val="cs-CZ"/>
        </w:rPr>
      </w:pPr>
    </w:p>
    <w:p w14:paraId="5ACA6660" w14:textId="6C5D6C2F" w:rsidR="001C06D9" w:rsidRPr="00E23FBD" w:rsidRDefault="008231FE" w:rsidP="001C06D9">
      <w:pPr>
        <w:jc w:val="center"/>
        <w:rPr>
          <w:rStyle w:val="dn"/>
          <w:rFonts w:ascii="Arial" w:hAnsi="Arial"/>
          <w:b/>
          <w:bCs/>
          <w:color w:val="auto"/>
          <w:lang w:val="cs-CZ"/>
        </w:rPr>
      </w:pPr>
      <w:r w:rsidRPr="00E23FBD">
        <w:rPr>
          <w:rStyle w:val="dn"/>
          <w:rFonts w:ascii="Arial" w:hAnsi="Arial"/>
          <w:b/>
          <w:bCs/>
          <w:color w:val="auto"/>
          <w:lang w:val="cs-CZ"/>
        </w:rPr>
        <w:t xml:space="preserve">Neutrální složení portfolia OK Smart </w:t>
      </w:r>
      <w:proofErr w:type="spellStart"/>
      <w:r w:rsidRPr="00E23FBD">
        <w:rPr>
          <w:rStyle w:val="dn"/>
          <w:rFonts w:ascii="Arial" w:hAnsi="Arial"/>
          <w:b/>
          <w:bCs/>
          <w:color w:val="auto"/>
          <w:lang w:val="cs-CZ"/>
        </w:rPr>
        <w:t>Opportunity</w:t>
      </w:r>
      <w:proofErr w:type="spellEnd"/>
    </w:p>
    <w:p w14:paraId="5C7BB5A1" w14:textId="5DA7BE41" w:rsidR="008231FE" w:rsidRDefault="009B4F03" w:rsidP="003600F6">
      <w:pPr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</w:pPr>
      <w:r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pict w14:anchorId="1FFBD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31.4pt">
            <v:imagedata r:id="rId7" o:title="GRAF neutralni slozeni OK Smart Opportunity"/>
          </v:shape>
        </w:pict>
      </w:r>
    </w:p>
    <w:p w14:paraId="4A1E6BB2" w14:textId="57950BE3" w:rsidR="00A02B73" w:rsidRDefault="00A02B73" w:rsidP="00831A6D">
      <w:pPr>
        <w:pBdr>
          <w:bottom w:val="single" w:sz="4" w:space="0" w:color="auto"/>
        </w:pBdr>
        <w:jc w:val="center"/>
        <w:rPr>
          <w:rStyle w:val="dn"/>
          <w:rFonts w:ascii="Arial" w:hAnsi="Arial"/>
          <w:b/>
          <w:bCs/>
          <w:sz w:val="18"/>
          <w:szCs w:val="20"/>
          <w:lang w:val="cs-CZ"/>
        </w:rPr>
      </w:pPr>
    </w:p>
    <w:p w14:paraId="1FAB0CCA" w14:textId="2876DDDE" w:rsidR="00CF0D82" w:rsidRPr="00A02B73" w:rsidRDefault="00690622" w:rsidP="00A0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</w:pPr>
      <w:r w:rsidRPr="00A02B73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Více o </w:t>
      </w:r>
      <w:r w:rsidRPr="00A02B73">
        <w:rPr>
          <w:rStyle w:val="dn"/>
          <w:rFonts w:ascii="Arial" w:hAnsi="Arial"/>
          <w:b/>
          <w:color w:val="auto"/>
          <w:sz w:val="18"/>
          <w:szCs w:val="18"/>
          <w:lang w:val="cs-CZ"/>
        </w:rPr>
        <w:t xml:space="preserve">OK Smart </w:t>
      </w:r>
      <w:proofErr w:type="spellStart"/>
      <w:r w:rsidRPr="00A02B73">
        <w:rPr>
          <w:rStyle w:val="dn"/>
          <w:rFonts w:ascii="Arial" w:hAnsi="Arial"/>
          <w:b/>
          <w:color w:val="auto"/>
          <w:sz w:val="18"/>
          <w:szCs w:val="18"/>
          <w:lang w:val="cs-CZ"/>
        </w:rPr>
        <w:t>Opportunity</w:t>
      </w:r>
      <w:proofErr w:type="spellEnd"/>
    </w:p>
    <w:p w14:paraId="67A53DFE" w14:textId="4E1E743B" w:rsidR="007713EB" w:rsidRDefault="00E34B8B" w:rsidP="007713EB">
      <w:pPr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val="cs-CZ"/>
        </w:rPr>
      </w:pPr>
      <w:r w:rsidRPr="008040F7">
        <w:rPr>
          <w:rStyle w:val="dn"/>
          <w:rFonts w:ascii="Arial" w:hAnsi="Arial"/>
          <w:sz w:val="18"/>
          <w:szCs w:val="18"/>
          <w:lang w:val="cs-CZ"/>
        </w:rPr>
        <w:t xml:space="preserve">Fond </w:t>
      </w:r>
      <w:r w:rsidR="00690622" w:rsidRPr="008040F7">
        <w:rPr>
          <w:rStyle w:val="dn"/>
          <w:rFonts w:ascii="Arial" w:hAnsi="Arial"/>
          <w:sz w:val="18"/>
          <w:szCs w:val="18"/>
          <w:lang w:val="cs-CZ"/>
        </w:rPr>
        <w:t xml:space="preserve">OK Smart </w:t>
      </w:r>
      <w:proofErr w:type="spellStart"/>
      <w:r w:rsidR="00690622" w:rsidRPr="008040F7">
        <w:rPr>
          <w:rStyle w:val="dn"/>
          <w:rFonts w:ascii="Arial" w:hAnsi="Arial"/>
          <w:sz w:val="18"/>
          <w:szCs w:val="18"/>
          <w:lang w:val="cs-CZ"/>
        </w:rPr>
        <w:t>Opportunity</w:t>
      </w:r>
      <w:proofErr w:type="spellEnd"/>
      <w:r w:rsidRPr="008040F7">
        <w:rPr>
          <w:rStyle w:val="dn"/>
          <w:rFonts w:ascii="Arial" w:hAnsi="Arial"/>
          <w:sz w:val="18"/>
          <w:szCs w:val="18"/>
          <w:lang w:val="cs-CZ"/>
        </w:rPr>
        <w:t xml:space="preserve"> uvedla </w:t>
      </w:r>
      <w:r w:rsidR="00E52DD7" w:rsidRPr="008040F7">
        <w:rPr>
          <w:rStyle w:val="dn"/>
          <w:rFonts w:ascii="Arial" w:hAnsi="Arial"/>
          <w:sz w:val="18"/>
          <w:szCs w:val="18"/>
          <w:lang w:val="cs-CZ"/>
        </w:rPr>
        <w:t xml:space="preserve">v srpnu roku 2020 </w:t>
      </w:r>
      <w:r w:rsidRPr="008040F7">
        <w:rPr>
          <w:rStyle w:val="dn"/>
          <w:rFonts w:ascii="Arial" w:hAnsi="Arial"/>
          <w:sz w:val="18"/>
          <w:szCs w:val="18"/>
          <w:lang w:val="cs-CZ"/>
        </w:rPr>
        <w:t xml:space="preserve">na trh </w:t>
      </w:r>
      <w:r w:rsidR="00E52DD7" w:rsidRPr="008040F7">
        <w:rPr>
          <w:rStyle w:val="dn"/>
          <w:rFonts w:ascii="Arial" w:hAnsi="Arial"/>
          <w:sz w:val="18"/>
          <w:szCs w:val="18"/>
          <w:lang w:val="cs-CZ"/>
        </w:rPr>
        <w:t xml:space="preserve">jako svůj vůbec první fond </w:t>
      </w:r>
      <w:r w:rsidRPr="008040F7">
        <w:rPr>
          <w:rStyle w:val="dn"/>
          <w:rFonts w:ascii="Arial" w:hAnsi="Arial"/>
          <w:sz w:val="18"/>
          <w:szCs w:val="18"/>
          <w:lang w:val="cs-CZ"/>
        </w:rPr>
        <w:t xml:space="preserve">MONECO investiční společnost </w:t>
      </w:r>
      <w:r w:rsidR="00D55D51" w:rsidRPr="008040F7">
        <w:rPr>
          <w:rStyle w:val="dn"/>
          <w:rFonts w:ascii="Arial" w:hAnsi="Arial"/>
          <w:sz w:val="18"/>
          <w:szCs w:val="18"/>
          <w:lang w:val="cs-CZ"/>
        </w:rPr>
        <w:t>pod hlavičkou finanční skupiny Broker Consulting</w:t>
      </w:r>
      <w:r w:rsidRPr="008040F7">
        <w:rPr>
          <w:rStyle w:val="dn"/>
          <w:rFonts w:ascii="Arial" w:hAnsi="Arial"/>
          <w:sz w:val="18"/>
          <w:szCs w:val="18"/>
          <w:lang w:val="cs-CZ"/>
        </w:rPr>
        <w:t>. Je</w:t>
      </w:r>
      <w:r w:rsidR="00690622" w:rsidRPr="00A02B73">
        <w:rPr>
          <w:rStyle w:val="dn"/>
          <w:rFonts w:ascii="Arial" w:hAnsi="Arial"/>
          <w:sz w:val="18"/>
          <w:szCs w:val="18"/>
          <w:lang w:val="cs-CZ"/>
        </w:rPr>
        <w:t xml:space="preserve"> zaměřený na aktiva málo korelovaná s kapitálovým trhem, čímž vhodně doplňuje nabídku pro kvalifikované investory. Ti mohou </w:t>
      </w:r>
      <w:r w:rsidR="00D55D51">
        <w:rPr>
          <w:rStyle w:val="dn"/>
          <w:rFonts w:ascii="Arial" w:hAnsi="Arial"/>
          <w:sz w:val="18"/>
          <w:szCs w:val="18"/>
          <w:lang w:val="cs-CZ"/>
        </w:rPr>
        <w:t>tímto</w:t>
      </w:r>
      <w:r w:rsidR="00690622" w:rsidRPr="00A02B73">
        <w:rPr>
          <w:rStyle w:val="dn"/>
          <w:rFonts w:ascii="Arial" w:hAnsi="Arial"/>
          <w:sz w:val="18"/>
          <w:szCs w:val="18"/>
          <w:lang w:val="cs-CZ"/>
        </w:rPr>
        <w:t xml:space="preserve"> fondem obohatit své portfolio tvořené v základu například fondy OK Smart ETF a OK Smart Bond. Minimální investice do fondu činí 1 milion korun </w:t>
      </w:r>
      <w:r w:rsidR="007713EB">
        <w:rPr>
          <w:rStyle w:val="dn"/>
          <w:rFonts w:ascii="Arial" w:hAnsi="Arial"/>
          <w:sz w:val="18"/>
          <w:szCs w:val="18"/>
          <w:lang w:val="cs-CZ"/>
        </w:rPr>
        <w:t>a očekávaný výnos</w:t>
      </w:r>
      <w:r w:rsidR="00690622" w:rsidRPr="00A02B73"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r w:rsidR="007713EB">
        <w:rPr>
          <w:rStyle w:val="dn"/>
          <w:rFonts w:ascii="Arial" w:hAnsi="Arial"/>
          <w:sz w:val="18"/>
          <w:szCs w:val="18"/>
          <w:lang w:val="cs-CZ"/>
        </w:rPr>
        <w:t>je 5,5 až 7,5 %, p. a. I</w:t>
      </w:r>
      <w:r w:rsidR="00690622" w:rsidRPr="00A02B73">
        <w:rPr>
          <w:rStyle w:val="dn"/>
          <w:rFonts w:ascii="Arial" w:hAnsi="Arial"/>
          <w:sz w:val="18"/>
          <w:szCs w:val="18"/>
          <w:lang w:val="cs-CZ"/>
        </w:rPr>
        <w:t>nvestiční horizont se pohybuje v rozmezí 7 až 10 let.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r w:rsidR="00F06424" w:rsidRPr="00A02B73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Podrobnosti k fondu naleznete na </w:t>
      </w:r>
      <w:hyperlink r:id="rId8" w:history="1">
        <w:r w:rsidR="00F06424" w:rsidRPr="00A02B73">
          <w:rPr>
            <w:rStyle w:val="Hypertextovodkaz"/>
            <w:rFonts w:ascii="Arial" w:hAnsi="Arial"/>
            <w:bCs/>
            <w:color w:val="0066FF"/>
            <w:sz w:val="18"/>
            <w:szCs w:val="18"/>
            <w:lang w:val="cs-CZ"/>
          </w:rPr>
          <w:t>jeho stránkách</w:t>
        </w:r>
      </w:hyperlink>
      <w:r w:rsidR="00F06424" w:rsidRPr="00A02B73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. </w:t>
      </w:r>
    </w:p>
    <w:p w14:paraId="31019ABD" w14:textId="26D70E34" w:rsidR="00F06424" w:rsidRDefault="00F06424" w:rsidP="00A0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bCs/>
          <w:color w:val="auto"/>
          <w:sz w:val="18"/>
          <w:szCs w:val="18"/>
          <w:lang w:val="cs-CZ"/>
        </w:rPr>
      </w:pPr>
    </w:p>
    <w:p w14:paraId="1D10D1FD" w14:textId="77777777" w:rsidR="00A31AA1" w:rsidRPr="00A02B73" w:rsidRDefault="00A31AA1" w:rsidP="00A0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sz w:val="18"/>
          <w:szCs w:val="18"/>
          <w:lang w:val="cs-CZ"/>
        </w:rPr>
      </w:pPr>
    </w:p>
    <w:p w14:paraId="482A6B1A" w14:textId="2EA7BE35" w:rsidR="00A02B73" w:rsidRPr="00A02B73" w:rsidRDefault="008040F7" w:rsidP="00A02B73">
      <w:pPr>
        <w:jc w:val="both"/>
        <w:rPr>
          <w:rFonts w:ascii="Arial" w:hAnsi="Arial" w:cs="Arial"/>
          <w:b/>
          <w:sz w:val="18"/>
          <w:szCs w:val="18"/>
        </w:rPr>
      </w:pPr>
      <w:r w:rsidRPr="00A02B73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Více o </w:t>
      </w:r>
      <w:r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skupině </w:t>
      </w:r>
      <w:r w:rsidR="00A02B73" w:rsidRPr="00A02B73">
        <w:rPr>
          <w:rFonts w:ascii="Arial" w:hAnsi="Arial" w:cs="Arial"/>
          <w:b/>
          <w:sz w:val="18"/>
          <w:szCs w:val="18"/>
        </w:rPr>
        <w:t>Broker Consulting</w:t>
      </w:r>
    </w:p>
    <w:p w14:paraId="3DD54F21" w14:textId="1D83C691" w:rsidR="00CF0D82" w:rsidRPr="009E2682" w:rsidRDefault="00A02B73" w:rsidP="009E2682">
      <w:pPr>
        <w:jc w:val="both"/>
        <w:rPr>
          <w:rStyle w:val="dn"/>
          <w:rFonts w:ascii="Arial" w:hAnsi="Arial" w:cs="Arial"/>
          <w:bCs/>
          <w:sz w:val="20"/>
          <w:szCs w:val="20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Širší skupina Broker Consulting se </w:t>
      </w:r>
      <w:r w:rsidR="008040F7">
        <w:rPr>
          <w:rStyle w:val="dn"/>
          <w:rFonts w:ascii="Arial" w:hAnsi="Arial"/>
          <w:sz w:val="18"/>
          <w:szCs w:val="18"/>
          <w:lang w:val="cs-CZ"/>
        </w:rPr>
        <w:t>vedle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finančního a realitního zprostředkování </w:t>
      </w:r>
      <w:r w:rsidR="008040F7" w:rsidRPr="00A02B73">
        <w:rPr>
          <w:rStyle w:val="dn"/>
          <w:rFonts w:ascii="Arial" w:hAnsi="Arial"/>
          <w:sz w:val="18"/>
          <w:szCs w:val="18"/>
          <w:lang w:val="cs-CZ"/>
        </w:rPr>
        <w:t>v České republice a na Slovensku</w:t>
      </w:r>
      <w:r w:rsidR="008040F7"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věnuje </w:t>
      </w:r>
      <w:r w:rsidR="008040F7">
        <w:rPr>
          <w:rStyle w:val="dn"/>
          <w:rFonts w:ascii="Arial" w:hAnsi="Arial"/>
          <w:sz w:val="18"/>
          <w:szCs w:val="18"/>
          <w:lang w:val="cs-CZ"/>
        </w:rPr>
        <w:t xml:space="preserve">také </w:t>
      </w:r>
      <w:r w:rsidRPr="00A02B73">
        <w:rPr>
          <w:rStyle w:val="dn"/>
          <w:rFonts w:ascii="Arial" w:hAnsi="Arial"/>
          <w:sz w:val="18"/>
          <w:szCs w:val="18"/>
          <w:lang w:val="cs-CZ"/>
        </w:rPr>
        <w:t>developmentu, správě nemovitostí</w:t>
      </w:r>
      <w:r w:rsidR="007C6310">
        <w:rPr>
          <w:rStyle w:val="dn"/>
          <w:rFonts w:ascii="Arial" w:hAnsi="Arial"/>
          <w:sz w:val="18"/>
          <w:szCs w:val="18"/>
          <w:lang w:val="cs-CZ"/>
        </w:rPr>
        <w:t xml:space="preserve"> či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férovým nebankovním půjčkám. Do skupiny patří například Broker Consulting ČR, Broker Consulting Slovenská republika, </w:t>
      </w:r>
      <w:r w:rsidR="007C6310" w:rsidRPr="00A02B73">
        <w:rPr>
          <w:rStyle w:val="dn"/>
          <w:rFonts w:ascii="Arial" w:hAnsi="Arial"/>
          <w:sz w:val="18"/>
          <w:szCs w:val="18"/>
          <w:lang w:val="cs-CZ"/>
        </w:rPr>
        <w:t>MONECO investiční společnost, Broker Consulting SICAV</w:t>
      </w:r>
      <w:r w:rsidR="007C6310">
        <w:rPr>
          <w:rStyle w:val="dn"/>
          <w:rFonts w:ascii="Arial" w:hAnsi="Arial"/>
          <w:sz w:val="18"/>
          <w:szCs w:val="18"/>
          <w:lang w:val="cs-CZ"/>
        </w:rPr>
        <w:t xml:space="preserve">, </w:t>
      </w:r>
      <w:r w:rsidR="007C6310" w:rsidRPr="00A02B73">
        <w:rPr>
          <w:rStyle w:val="dn"/>
          <w:rFonts w:ascii="Arial" w:hAnsi="Arial"/>
          <w:sz w:val="18"/>
          <w:szCs w:val="18"/>
          <w:lang w:val="cs-CZ"/>
        </w:rPr>
        <w:t>BC Real</w:t>
      </w:r>
      <w:r w:rsidR="007C6310">
        <w:rPr>
          <w:rStyle w:val="dn"/>
          <w:rFonts w:ascii="Arial" w:hAnsi="Arial"/>
          <w:sz w:val="18"/>
          <w:szCs w:val="18"/>
          <w:lang w:val="cs-CZ"/>
        </w:rPr>
        <w:t>,</w:t>
      </w:r>
      <w:r w:rsidR="007C6310" w:rsidRPr="00A02B73"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proofErr w:type="spellStart"/>
      <w:r w:rsidRPr="00A02B73">
        <w:rPr>
          <w:rStyle w:val="dn"/>
          <w:rFonts w:ascii="Arial" w:hAnsi="Arial"/>
          <w:sz w:val="18"/>
          <w:szCs w:val="18"/>
          <w:lang w:val="cs-CZ"/>
        </w:rPr>
        <w:t>ProCredia</w:t>
      </w:r>
      <w:proofErr w:type="spellEnd"/>
      <w:r w:rsidRPr="00A02B73">
        <w:rPr>
          <w:rStyle w:val="dn"/>
          <w:rFonts w:ascii="Arial" w:hAnsi="Arial"/>
          <w:sz w:val="18"/>
          <w:szCs w:val="18"/>
          <w:lang w:val="cs-CZ"/>
        </w:rPr>
        <w:t>, skupina</w:t>
      </w:r>
      <w:r w:rsidR="007C6310">
        <w:rPr>
          <w:rStyle w:val="dn"/>
          <w:rFonts w:ascii="Arial" w:hAnsi="Arial"/>
          <w:sz w:val="18"/>
          <w:szCs w:val="18"/>
          <w:lang w:val="cs-CZ"/>
        </w:rPr>
        <w:t xml:space="preserve"> a PRODOMIA Group.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Obrat širší skupiny Broker Consulting dosáhl v roce 2020 celkové hodnoty 2,1 miliardy Kč.</w:t>
      </w:r>
      <w:r w:rsidR="003338FA">
        <w:rPr>
          <w:rStyle w:val="dn"/>
          <w:rFonts w:ascii="Arial" w:hAnsi="Arial"/>
          <w:sz w:val="18"/>
          <w:szCs w:val="18"/>
          <w:lang w:val="cs-CZ"/>
        </w:rPr>
        <w:t xml:space="preserve"> V letošním roce skupina meziročně roste o více než 30 %. 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Více na stránkách </w:t>
      </w:r>
      <w:hyperlink r:id="rId9" w:history="1">
        <w:r w:rsidRPr="00A02B73">
          <w:rPr>
            <w:rStyle w:val="Hypertextovodkaz"/>
            <w:rFonts w:ascii="Arial" w:hAnsi="Arial"/>
            <w:bCs/>
            <w:color w:val="0066FF"/>
            <w:sz w:val="18"/>
            <w:szCs w:val="18"/>
            <w:lang w:val="cs-CZ"/>
          </w:rPr>
          <w:t>www.bcas.cz</w:t>
        </w:r>
      </w:hyperlink>
      <w:r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34CDB154" w14:textId="77777777" w:rsidR="00F13DEB" w:rsidRDefault="00F13DEB" w:rsidP="00A02B73">
      <w:pPr>
        <w:pStyle w:val="Bezmezer"/>
        <w:rPr>
          <w:rStyle w:val="dn"/>
          <w:rFonts w:ascii="Arial" w:hAnsi="Arial"/>
          <w:b/>
          <w:sz w:val="18"/>
          <w:szCs w:val="18"/>
          <w:lang w:val="cs-CZ"/>
        </w:rPr>
      </w:pPr>
    </w:p>
    <w:p w14:paraId="225A314A" w14:textId="451E41C3" w:rsid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b/>
          <w:sz w:val="18"/>
          <w:szCs w:val="18"/>
          <w:lang w:val="cs-CZ"/>
        </w:rPr>
        <w:t>Kontakt pro média:</w:t>
      </w:r>
      <w:r w:rsidRPr="00A02B73">
        <w:rPr>
          <w:rStyle w:val="dn"/>
          <w:rFonts w:ascii="Arial" w:hAnsi="Arial"/>
          <w:sz w:val="18"/>
          <w:szCs w:val="18"/>
          <w:lang w:val="cs-CZ"/>
        </w:rPr>
        <w:br/>
      </w:r>
    </w:p>
    <w:p w14:paraId="7F433F45" w14:textId="43B21847" w:rsidR="00A02B73" w:rsidRP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Tereza Kunová</w:t>
      </w:r>
    </w:p>
    <w:p w14:paraId="51DF38B2" w14:textId="77777777" w:rsidR="00A02B73" w:rsidRP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Specialistka PR a externí komunikace</w:t>
      </w:r>
    </w:p>
    <w:p w14:paraId="7B8EDD9A" w14:textId="77777777" w:rsidR="00A02B73" w:rsidRP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Broker Consulting, a.s.,</w:t>
      </w:r>
    </w:p>
    <w:p w14:paraId="32D84E17" w14:textId="77777777" w:rsidR="00A02B73" w:rsidRP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Office Park Nové Butovice (Budova B)</w:t>
      </w:r>
      <w:r w:rsidRPr="00A02B73">
        <w:rPr>
          <w:rStyle w:val="dn"/>
          <w:rFonts w:ascii="Arial" w:hAnsi="Arial"/>
          <w:sz w:val="18"/>
          <w:szCs w:val="18"/>
          <w:lang w:val="cs-CZ"/>
        </w:rPr>
        <w:br/>
        <w:t>Bucharova 1423/6, 158 00 Praha 5</w:t>
      </w:r>
    </w:p>
    <w:p w14:paraId="2F38869F" w14:textId="77777777" w:rsidR="00A02B73" w:rsidRP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mobil: +420 731 537 716</w:t>
      </w:r>
    </w:p>
    <w:p w14:paraId="2691596E" w14:textId="77777777" w:rsidR="00A02B73" w:rsidRPr="00A02B73" w:rsidRDefault="00A02B73" w:rsidP="00A02B73">
      <w:pPr>
        <w:pStyle w:val="Bezmezer"/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e-mail: </w:t>
      </w:r>
      <w:hyperlink r:id="rId10" w:history="1">
        <w:r w:rsidRPr="00A02B73">
          <w:rPr>
            <w:rStyle w:val="Hypertextovodkaz"/>
            <w:rFonts w:ascii="Arial" w:hAnsi="Arial" w:cs="Arial"/>
            <w:bCs/>
            <w:color w:val="0066FF"/>
            <w:sz w:val="18"/>
            <w:szCs w:val="18"/>
          </w:rPr>
          <w:t>tereza.kunova@bcas.cz</w:t>
        </w:r>
      </w:hyperlink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</w:t>
      </w:r>
    </w:p>
    <w:p w14:paraId="622A2173" w14:textId="4E406619" w:rsidR="00397E21" w:rsidRDefault="00397E21" w:rsidP="00A02B73">
      <w:pPr>
        <w:pStyle w:val="Bezmezer"/>
        <w:rPr>
          <w:rStyle w:val="dn"/>
          <w:rFonts w:ascii="Arial" w:hAnsi="Arial" w:cs="Arial"/>
          <w:sz w:val="18"/>
          <w:szCs w:val="18"/>
        </w:rPr>
      </w:pPr>
    </w:p>
    <w:sectPr w:rsidR="00397E21" w:rsidSect="009E2682">
      <w:headerReference w:type="default" r:id="rId11"/>
      <w:pgSz w:w="11900" w:h="16840"/>
      <w:pgMar w:top="2410" w:right="1274" w:bottom="993" w:left="1134" w:header="510" w:footer="62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B409" w16cex:dateUtc="2020-08-31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1B46BA" w16cid:durableId="22F7B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DB4B9" w14:textId="77777777" w:rsidR="00940D5E" w:rsidRDefault="00940D5E">
      <w:pPr>
        <w:spacing w:after="0" w:line="240" w:lineRule="auto"/>
      </w:pPr>
      <w:r>
        <w:separator/>
      </w:r>
    </w:p>
  </w:endnote>
  <w:endnote w:type="continuationSeparator" w:id="0">
    <w:p w14:paraId="02397B4A" w14:textId="77777777" w:rsidR="00940D5E" w:rsidRDefault="0094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9D76" w14:textId="77777777" w:rsidR="00940D5E" w:rsidRDefault="00940D5E">
      <w:pPr>
        <w:spacing w:after="0" w:line="240" w:lineRule="auto"/>
      </w:pPr>
      <w:r>
        <w:separator/>
      </w:r>
    </w:p>
  </w:footnote>
  <w:footnote w:type="continuationSeparator" w:id="0">
    <w:p w14:paraId="4CE1A062" w14:textId="77777777" w:rsidR="00940D5E" w:rsidRDefault="0094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7A3D" w14:textId="13EAF319" w:rsidR="00F663C1" w:rsidRDefault="006A3858" w:rsidP="00A02B73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val="cs-CZ"/>
      </w:rPr>
      <w:drawing>
        <wp:anchor distT="152400" distB="152400" distL="152400" distR="152400" simplePos="0" relativeHeight="251659264" behindDoc="1" locked="0" layoutInCell="1" allowOverlap="1" wp14:anchorId="7C1324CD" wp14:editId="6C44383D">
          <wp:simplePos x="0" y="0"/>
          <wp:positionH relativeFrom="margin">
            <wp:posOffset>879</wp:posOffset>
          </wp:positionH>
          <wp:positionV relativeFrom="page">
            <wp:posOffset>404445</wp:posOffset>
          </wp:positionV>
          <wp:extent cx="1611923" cy="779585"/>
          <wp:effectExtent l="0" t="0" r="7620" b="1905"/>
          <wp:wrapNone/>
          <wp:docPr id="6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876" cy="7829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dn"/>
        <w:rFonts w:ascii="Arial" w:hAnsi="Arial" w:cs="Arial"/>
        <w:b/>
        <w:bCs/>
        <w:noProof/>
        <w:color w:val="auto"/>
        <w:sz w:val="28"/>
        <w:szCs w:val="28"/>
        <w:lang w:val="cs-CZ"/>
      </w:rPr>
      <w:drawing>
        <wp:anchor distT="0" distB="0" distL="114300" distR="114300" simplePos="0" relativeHeight="251660288" behindDoc="1" locked="0" layoutInCell="1" allowOverlap="1" wp14:anchorId="2A813D9E" wp14:editId="4C4C5A7F">
          <wp:simplePos x="0" y="0"/>
          <wp:positionH relativeFrom="column">
            <wp:posOffset>4326255</wp:posOffset>
          </wp:positionH>
          <wp:positionV relativeFrom="paragraph">
            <wp:posOffset>265430</wp:posOffset>
          </wp:positionV>
          <wp:extent cx="1670050" cy="470535"/>
          <wp:effectExtent l="0" t="0" r="6350" b="5715"/>
          <wp:wrapTight wrapText="bothSides">
            <wp:wrapPolygon edited="0">
              <wp:start x="0" y="0"/>
              <wp:lineTo x="0" y="20988"/>
              <wp:lineTo x="21436" y="20988"/>
              <wp:lineTo x="21436" y="874"/>
              <wp:lineTo x="21189" y="0"/>
              <wp:lineTo x="0" y="0"/>
            </wp:wrapPolygon>
          </wp:wrapTight>
          <wp:docPr id="3" name="Obrázek 3" descr="C:\Users\tkunova\AppData\Local\Microsoft\Windows\INetCache\Content.Word\Moneco 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kunova\AppData\Local\Microsoft\Windows\INetCache\Content.Word\Moneco 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AF"/>
    <w:rsid w:val="00015EB8"/>
    <w:rsid w:val="00024315"/>
    <w:rsid w:val="00032B2F"/>
    <w:rsid w:val="0003486F"/>
    <w:rsid w:val="00040015"/>
    <w:rsid w:val="000549AE"/>
    <w:rsid w:val="00061095"/>
    <w:rsid w:val="00062231"/>
    <w:rsid w:val="00073F67"/>
    <w:rsid w:val="00076A3C"/>
    <w:rsid w:val="00076B1F"/>
    <w:rsid w:val="000842BC"/>
    <w:rsid w:val="0009369D"/>
    <w:rsid w:val="000960F5"/>
    <w:rsid w:val="000A0458"/>
    <w:rsid w:val="000A2847"/>
    <w:rsid w:val="000A3096"/>
    <w:rsid w:val="000A3EAF"/>
    <w:rsid w:val="000A46FF"/>
    <w:rsid w:val="000A6A50"/>
    <w:rsid w:val="000B2F08"/>
    <w:rsid w:val="000B31C0"/>
    <w:rsid w:val="000B5C70"/>
    <w:rsid w:val="000B63D3"/>
    <w:rsid w:val="000C2D49"/>
    <w:rsid w:val="000C5CCA"/>
    <w:rsid w:val="000D7D04"/>
    <w:rsid w:val="000E1484"/>
    <w:rsid w:val="000E5885"/>
    <w:rsid w:val="000F5068"/>
    <w:rsid w:val="000F51EA"/>
    <w:rsid w:val="000F64A4"/>
    <w:rsid w:val="000F73B1"/>
    <w:rsid w:val="00112A8B"/>
    <w:rsid w:val="00120130"/>
    <w:rsid w:val="00120602"/>
    <w:rsid w:val="00122E56"/>
    <w:rsid w:val="001359AD"/>
    <w:rsid w:val="0013655E"/>
    <w:rsid w:val="0014056C"/>
    <w:rsid w:val="00143457"/>
    <w:rsid w:val="00150034"/>
    <w:rsid w:val="00151AE3"/>
    <w:rsid w:val="001620C3"/>
    <w:rsid w:val="00164270"/>
    <w:rsid w:val="00177968"/>
    <w:rsid w:val="00180A38"/>
    <w:rsid w:val="0018151B"/>
    <w:rsid w:val="00182FBD"/>
    <w:rsid w:val="00192038"/>
    <w:rsid w:val="001A45EF"/>
    <w:rsid w:val="001B24E0"/>
    <w:rsid w:val="001C06D9"/>
    <w:rsid w:val="001C0E5B"/>
    <w:rsid w:val="001C3649"/>
    <w:rsid w:val="001C593D"/>
    <w:rsid w:val="001D09B8"/>
    <w:rsid w:val="001D3776"/>
    <w:rsid w:val="001E1DAF"/>
    <w:rsid w:val="001F1C02"/>
    <w:rsid w:val="002004D0"/>
    <w:rsid w:val="00202716"/>
    <w:rsid w:val="0020333D"/>
    <w:rsid w:val="00203943"/>
    <w:rsid w:val="0022044E"/>
    <w:rsid w:val="002301ED"/>
    <w:rsid w:val="0023421D"/>
    <w:rsid w:val="002409BF"/>
    <w:rsid w:val="00240FB7"/>
    <w:rsid w:val="00253054"/>
    <w:rsid w:val="002541EE"/>
    <w:rsid w:val="002611E0"/>
    <w:rsid w:val="00265151"/>
    <w:rsid w:val="00272522"/>
    <w:rsid w:val="00272EA5"/>
    <w:rsid w:val="00283119"/>
    <w:rsid w:val="00294232"/>
    <w:rsid w:val="002D5FA5"/>
    <w:rsid w:val="002E0D8B"/>
    <w:rsid w:val="002E50D8"/>
    <w:rsid w:val="002E640F"/>
    <w:rsid w:val="002F2F6E"/>
    <w:rsid w:val="0032580E"/>
    <w:rsid w:val="00325AB7"/>
    <w:rsid w:val="0033275B"/>
    <w:rsid w:val="00333838"/>
    <w:rsid w:val="003338FA"/>
    <w:rsid w:val="00334DDD"/>
    <w:rsid w:val="00337FCB"/>
    <w:rsid w:val="003436E2"/>
    <w:rsid w:val="00344CE9"/>
    <w:rsid w:val="00350514"/>
    <w:rsid w:val="00350E18"/>
    <w:rsid w:val="003514B6"/>
    <w:rsid w:val="00354377"/>
    <w:rsid w:val="003561CD"/>
    <w:rsid w:val="00356EAC"/>
    <w:rsid w:val="003600F6"/>
    <w:rsid w:val="003641DF"/>
    <w:rsid w:val="00364650"/>
    <w:rsid w:val="00371937"/>
    <w:rsid w:val="003867F1"/>
    <w:rsid w:val="00391117"/>
    <w:rsid w:val="00393EEC"/>
    <w:rsid w:val="00397E21"/>
    <w:rsid w:val="003B63E3"/>
    <w:rsid w:val="003B7C2A"/>
    <w:rsid w:val="003C328A"/>
    <w:rsid w:val="003C442F"/>
    <w:rsid w:val="003C5974"/>
    <w:rsid w:val="003C7D63"/>
    <w:rsid w:val="003D1E6C"/>
    <w:rsid w:val="003D2F36"/>
    <w:rsid w:val="003D53A6"/>
    <w:rsid w:val="003D60DF"/>
    <w:rsid w:val="003E4867"/>
    <w:rsid w:val="003E5DAD"/>
    <w:rsid w:val="003E6808"/>
    <w:rsid w:val="00400FFA"/>
    <w:rsid w:val="0040123F"/>
    <w:rsid w:val="00405105"/>
    <w:rsid w:val="00410ACD"/>
    <w:rsid w:val="0041727E"/>
    <w:rsid w:val="00417ED3"/>
    <w:rsid w:val="004215CD"/>
    <w:rsid w:val="0042710D"/>
    <w:rsid w:val="0043553D"/>
    <w:rsid w:val="0044721E"/>
    <w:rsid w:val="00452BF7"/>
    <w:rsid w:val="004549DA"/>
    <w:rsid w:val="0046548E"/>
    <w:rsid w:val="00465804"/>
    <w:rsid w:val="00467185"/>
    <w:rsid w:val="0047376E"/>
    <w:rsid w:val="00481B44"/>
    <w:rsid w:val="00487CED"/>
    <w:rsid w:val="004913EA"/>
    <w:rsid w:val="00494757"/>
    <w:rsid w:val="004A10B2"/>
    <w:rsid w:val="004A63BD"/>
    <w:rsid w:val="004B4380"/>
    <w:rsid w:val="004B5139"/>
    <w:rsid w:val="004C141B"/>
    <w:rsid w:val="004D2A4F"/>
    <w:rsid w:val="004D3A54"/>
    <w:rsid w:val="004D6015"/>
    <w:rsid w:val="004D6640"/>
    <w:rsid w:val="004E36F9"/>
    <w:rsid w:val="004F296D"/>
    <w:rsid w:val="004F3230"/>
    <w:rsid w:val="004F6233"/>
    <w:rsid w:val="00500A6F"/>
    <w:rsid w:val="00500FDC"/>
    <w:rsid w:val="00507BDA"/>
    <w:rsid w:val="00510CB9"/>
    <w:rsid w:val="005262DB"/>
    <w:rsid w:val="0053628B"/>
    <w:rsid w:val="00537794"/>
    <w:rsid w:val="0055008A"/>
    <w:rsid w:val="00551765"/>
    <w:rsid w:val="0055330D"/>
    <w:rsid w:val="0055423F"/>
    <w:rsid w:val="00554834"/>
    <w:rsid w:val="00554FA1"/>
    <w:rsid w:val="0055587F"/>
    <w:rsid w:val="00570AC1"/>
    <w:rsid w:val="0057218C"/>
    <w:rsid w:val="00580AAC"/>
    <w:rsid w:val="00581783"/>
    <w:rsid w:val="00584D5E"/>
    <w:rsid w:val="00585A12"/>
    <w:rsid w:val="005906CF"/>
    <w:rsid w:val="00593158"/>
    <w:rsid w:val="00594736"/>
    <w:rsid w:val="005A2235"/>
    <w:rsid w:val="005A34A1"/>
    <w:rsid w:val="005A5526"/>
    <w:rsid w:val="005A574A"/>
    <w:rsid w:val="005A6C88"/>
    <w:rsid w:val="005B1973"/>
    <w:rsid w:val="005B72C9"/>
    <w:rsid w:val="005D68AB"/>
    <w:rsid w:val="005D7CDD"/>
    <w:rsid w:val="005E179D"/>
    <w:rsid w:val="005E295D"/>
    <w:rsid w:val="005F1A8B"/>
    <w:rsid w:val="00603238"/>
    <w:rsid w:val="006074F5"/>
    <w:rsid w:val="006142B8"/>
    <w:rsid w:val="00615F33"/>
    <w:rsid w:val="0063128C"/>
    <w:rsid w:val="00631F49"/>
    <w:rsid w:val="006335F9"/>
    <w:rsid w:val="00640144"/>
    <w:rsid w:val="0064591E"/>
    <w:rsid w:val="00653C41"/>
    <w:rsid w:val="00657A88"/>
    <w:rsid w:val="00657C5D"/>
    <w:rsid w:val="0066107A"/>
    <w:rsid w:val="006635F9"/>
    <w:rsid w:val="00663ECF"/>
    <w:rsid w:val="00670CAE"/>
    <w:rsid w:val="00675D7D"/>
    <w:rsid w:val="00682553"/>
    <w:rsid w:val="00683D01"/>
    <w:rsid w:val="00690622"/>
    <w:rsid w:val="006968C0"/>
    <w:rsid w:val="006A25F4"/>
    <w:rsid w:val="006A2D65"/>
    <w:rsid w:val="006A3858"/>
    <w:rsid w:val="006A4CE6"/>
    <w:rsid w:val="006A7CBE"/>
    <w:rsid w:val="006B4C97"/>
    <w:rsid w:val="006B6B20"/>
    <w:rsid w:val="006C7E97"/>
    <w:rsid w:val="006D2FAF"/>
    <w:rsid w:val="006D3E7C"/>
    <w:rsid w:val="006F40F7"/>
    <w:rsid w:val="00703F46"/>
    <w:rsid w:val="00707169"/>
    <w:rsid w:val="00724694"/>
    <w:rsid w:val="007456D1"/>
    <w:rsid w:val="00750B30"/>
    <w:rsid w:val="0075168C"/>
    <w:rsid w:val="0075657B"/>
    <w:rsid w:val="007713EB"/>
    <w:rsid w:val="00775290"/>
    <w:rsid w:val="007A3F10"/>
    <w:rsid w:val="007A708D"/>
    <w:rsid w:val="007A7A12"/>
    <w:rsid w:val="007B1674"/>
    <w:rsid w:val="007B2767"/>
    <w:rsid w:val="007B436B"/>
    <w:rsid w:val="007C5958"/>
    <w:rsid w:val="007C6310"/>
    <w:rsid w:val="007C64EE"/>
    <w:rsid w:val="007D22CC"/>
    <w:rsid w:val="007F2019"/>
    <w:rsid w:val="007F6BFA"/>
    <w:rsid w:val="008036CD"/>
    <w:rsid w:val="008040F7"/>
    <w:rsid w:val="00805369"/>
    <w:rsid w:val="00806BDC"/>
    <w:rsid w:val="00811C47"/>
    <w:rsid w:val="008202D8"/>
    <w:rsid w:val="008231FE"/>
    <w:rsid w:val="00831A6D"/>
    <w:rsid w:val="00836001"/>
    <w:rsid w:val="00846F6D"/>
    <w:rsid w:val="008521A7"/>
    <w:rsid w:val="00852C87"/>
    <w:rsid w:val="008551E9"/>
    <w:rsid w:val="00856D0D"/>
    <w:rsid w:val="00861C9C"/>
    <w:rsid w:val="00871F82"/>
    <w:rsid w:val="008821C9"/>
    <w:rsid w:val="00891336"/>
    <w:rsid w:val="008916B6"/>
    <w:rsid w:val="008A116A"/>
    <w:rsid w:val="008A18BE"/>
    <w:rsid w:val="008A1A8B"/>
    <w:rsid w:val="008A7766"/>
    <w:rsid w:val="008C3948"/>
    <w:rsid w:val="008C3B25"/>
    <w:rsid w:val="008D2597"/>
    <w:rsid w:val="008D7B7C"/>
    <w:rsid w:val="008E2322"/>
    <w:rsid w:val="008F0840"/>
    <w:rsid w:val="008F2043"/>
    <w:rsid w:val="008F5F7C"/>
    <w:rsid w:val="009005F6"/>
    <w:rsid w:val="00900DA1"/>
    <w:rsid w:val="00901697"/>
    <w:rsid w:val="009070C0"/>
    <w:rsid w:val="00907990"/>
    <w:rsid w:val="00907AE4"/>
    <w:rsid w:val="00910BA8"/>
    <w:rsid w:val="00911FE1"/>
    <w:rsid w:val="009124BD"/>
    <w:rsid w:val="00916143"/>
    <w:rsid w:val="009319C4"/>
    <w:rsid w:val="00940D5E"/>
    <w:rsid w:val="00941FBE"/>
    <w:rsid w:val="00943C7A"/>
    <w:rsid w:val="00954691"/>
    <w:rsid w:val="00954BAF"/>
    <w:rsid w:val="009572BB"/>
    <w:rsid w:val="00960B1C"/>
    <w:rsid w:val="00996BEE"/>
    <w:rsid w:val="00996FBB"/>
    <w:rsid w:val="00997F1A"/>
    <w:rsid w:val="009A5590"/>
    <w:rsid w:val="009A71D3"/>
    <w:rsid w:val="009B4F03"/>
    <w:rsid w:val="009B73DA"/>
    <w:rsid w:val="009C1004"/>
    <w:rsid w:val="009C1DA5"/>
    <w:rsid w:val="009C2582"/>
    <w:rsid w:val="009C6ABB"/>
    <w:rsid w:val="009C6CD2"/>
    <w:rsid w:val="009D1AC1"/>
    <w:rsid w:val="009D6D92"/>
    <w:rsid w:val="009E005B"/>
    <w:rsid w:val="009E06F6"/>
    <w:rsid w:val="009E2682"/>
    <w:rsid w:val="009E3D31"/>
    <w:rsid w:val="009E566C"/>
    <w:rsid w:val="00A018C4"/>
    <w:rsid w:val="00A02B73"/>
    <w:rsid w:val="00A074FF"/>
    <w:rsid w:val="00A126D7"/>
    <w:rsid w:val="00A17C0D"/>
    <w:rsid w:val="00A20412"/>
    <w:rsid w:val="00A206EA"/>
    <w:rsid w:val="00A27A2B"/>
    <w:rsid w:val="00A31AA1"/>
    <w:rsid w:val="00A34CC5"/>
    <w:rsid w:val="00A51E05"/>
    <w:rsid w:val="00A52B21"/>
    <w:rsid w:val="00A55AC6"/>
    <w:rsid w:val="00A569E4"/>
    <w:rsid w:val="00A771C5"/>
    <w:rsid w:val="00A80B67"/>
    <w:rsid w:val="00A871E5"/>
    <w:rsid w:val="00A908A6"/>
    <w:rsid w:val="00AA3422"/>
    <w:rsid w:val="00AB570C"/>
    <w:rsid w:val="00AC03F5"/>
    <w:rsid w:val="00AD65BB"/>
    <w:rsid w:val="00AE2884"/>
    <w:rsid w:val="00AE29FD"/>
    <w:rsid w:val="00AE7AA3"/>
    <w:rsid w:val="00AF075E"/>
    <w:rsid w:val="00B00FAF"/>
    <w:rsid w:val="00B01923"/>
    <w:rsid w:val="00B06B18"/>
    <w:rsid w:val="00B07680"/>
    <w:rsid w:val="00B11D01"/>
    <w:rsid w:val="00B13E91"/>
    <w:rsid w:val="00B163BA"/>
    <w:rsid w:val="00B24586"/>
    <w:rsid w:val="00B33E44"/>
    <w:rsid w:val="00B4579D"/>
    <w:rsid w:val="00B47713"/>
    <w:rsid w:val="00B572EF"/>
    <w:rsid w:val="00B610C5"/>
    <w:rsid w:val="00B70FC5"/>
    <w:rsid w:val="00B80B91"/>
    <w:rsid w:val="00B836E9"/>
    <w:rsid w:val="00B8515C"/>
    <w:rsid w:val="00B94936"/>
    <w:rsid w:val="00BA274A"/>
    <w:rsid w:val="00BA41AE"/>
    <w:rsid w:val="00BB3075"/>
    <w:rsid w:val="00BB48AE"/>
    <w:rsid w:val="00BB4AE4"/>
    <w:rsid w:val="00BB5B71"/>
    <w:rsid w:val="00BC04A7"/>
    <w:rsid w:val="00BC10AE"/>
    <w:rsid w:val="00BE48C8"/>
    <w:rsid w:val="00BF08DE"/>
    <w:rsid w:val="00BF4007"/>
    <w:rsid w:val="00BF5A91"/>
    <w:rsid w:val="00C07625"/>
    <w:rsid w:val="00C146DE"/>
    <w:rsid w:val="00C16A72"/>
    <w:rsid w:val="00C230F1"/>
    <w:rsid w:val="00C35556"/>
    <w:rsid w:val="00C4629F"/>
    <w:rsid w:val="00C64246"/>
    <w:rsid w:val="00C65A9F"/>
    <w:rsid w:val="00C67DD8"/>
    <w:rsid w:val="00C72A9E"/>
    <w:rsid w:val="00C75A10"/>
    <w:rsid w:val="00C81FEF"/>
    <w:rsid w:val="00C92233"/>
    <w:rsid w:val="00C93404"/>
    <w:rsid w:val="00C95766"/>
    <w:rsid w:val="00CA2A9C"/>
    <w:rsid w:val="00CA3ED2"/>
    <w:rsid w:val="00CA4721"/>
    <w:rsid w:val="00CC7DCE"/>
    <w:rsid w:val="00CD6230"/>
    <w:rsid w:val="00CD76CF"/>
    <w:rsid w:val="00CF0D82"/>
    <w:rsid w:val="00CF23A1"/>
    <w:rsid w:val="00CF6A60"/>
    <w:rsid w:val="00D0069A"/>
    <w:rsid w:val="00D01CBA"/>
    <w:rsid w:val="00D02A5B"/>
    <w:rsid w:val="00D04B5A"/>
    <w:rsid w:val="00D07AEA"/>
    <w:rsid w:val="00D132F7"/>
    <w:rsid w:val="00D16F5B"/>
    <w:rsid w:val="00D24FCC"/>
    <w:rsid w:val="00D253D2"/>
    <w:rsid w:val="00D256F6"/>
    <w:rsid w:val="00D26D64"/>
    <w:rsid w:val="00D307C2"/>
    <w:rsid w:val="00D3622C"/>
    <w:rsid w:val="00D43E67"/>
    <w:rsid w:val="00D445BD"/>
    <w:rsid w:val="00D525F9"/>
    <w:rsid w:val="00D55D51"/>
    <w:rsid w:val="00D61658"/>
    <w:rsid w:val="00D70E33"/>
    <w:rsid w:val="00D70FD7"/>
    <w:rsid w:val="00D76384"/>
    <w:rsid w:val="00D81643"/>
    <w:rsid w:val="00D86B38"/>
    <w:rsid w:val="00D8767B"/>
    <w:rsid w:val="00D909A2"/>
    <w:rsid w:val="00DA0B9B"/>
    <w:rsid w:val="00DA1C18"/>
    <w:rsid w:val="00DA3EBD"/>
    <w:rsid w:val="00DA7782"/>
    <w:rsid w:val="00DB08BC"/>
    <w:rsid w:val="00DB3471"/>
    <w:rsid w:val="00DB37B2"/>
    <w:rsid w:val="00DB502A"/>
    <w:rsid w:val="00DF5AC7"/>
    <w:rsid w:val="00E009C1"/>
    <w:rsid w:val="00E03B10"/>
    <w:rsid w:val="00E15E91"/>
    <w:rsid w:val="00E15F26"/>
    <w:rsid w:val="00E17100"/>
    <w:rsid w:val="00E20983"/>
    <w:rsid w:val="00E2145E"/>
    <w:rsid w:val="00E23153"/>
    <w:rsid w:val="00E23FBD"/>
    <w:rsid w:val="00E31B00"/>
    <w:rsid w:val="00E33A87"/>
    <w:rsid w:val="00E34B8B"/>
    <w:rsid w:val="00E47E83"/>
    <w:rsid w:val="00E52A54"/>
    <w:rsid w:val="00E52DD7"/>
    <w:rsid w:val="00E5611B"/>
    <w:rsid w:val="00E57A4F"/>
    <w:rsid w:val="00E600BF"/>
    <w:rsid w:val="00E72DB3"/>
    <w:rsid w:val="00E72E80"/>
    <w:rsid w:val="00E755CE"/>
    <w:rsid w:val="00E8258E"/>
    <w:rsid w:val="00E93D6E"/>
    <w:rsid w:val="00EB3101"/>
    <w:rsid w:val="00EB52FD"/>
    <w:rsid w:val="00EC7231"/>
    <w:rsid w:val="00EC7514"/>
    <w:rsid w:val="00ED1832"/>
    <w:rsid w:val="00ED3786"/>
    <w:rsid w:val="00ED387F"/>
    <w:rsid w:val="00EE0A5C"/>
    <w:rsid w:val="00EF6140"/>
    <w:rsid w:val="00F030C7"/>
    <w:rsid w:val="00F031BB"/>
    <w:rsid w:val="00F06424"/>
    <w:rsid w:val="00F07AD5"/>
    <w:rsid w:val="00F11F49"/>
    <w:rsid w:val="00F13DEB"/>
    <w:rsid w:val="00F13F89"/>
    <w:rsid w:val="00F16861"/>
    <w:rsid w:val="00F17310"/>
    <w:rsid w:val="00F21D57"/>
    <w:rsid w:val="00F23055"/>
    <w:rsid w:val="00F25185"/>
    <w:rsid w:val="00F4061D"/>
    <w:rsid w:val="00F426CA"/>
    <w:rsid w:val="00F43323"/>
    <w:rsid w:val="00F43BC2"/>
    <w:rsid w:val="00F43EC0"/>
    <w:rsid w:val="00F45DBB"/>
    <w:rsid w:val="00F45F59"/>
    <w:rsid w:val="00F46371"/>
    <w:rsid w:val="00F46641"/>
    <w:rsid w:val="00F53192"/>
    <w:rsid w:val="00F545E3"/>
    <w:rsid w:val="00F61C13"/>
    <w:rsid w:val="00F663C1"/>
    <w:rsid w:val="00F720A3"/>
    <w:rsid w:val="00F7243A"/>
    <w:rsid w:val="00F755C7"/>
    <w:rsid w:val="00F7782A"/>
    <w:rsid w:val="00F8191A"/>
    <w:rsid w:val="00FA19DF"/>
    <w:rsid w:val="00FA3581"/>
    <w:rsid w:val="00FA60CA"/>
    <w:rsid w:val="00FB0BC1"/>
    <w:rsid w:val="00FB7FCC"/>
    <w:rsid w:val="00FC3BCF"/>
    <w:rsid w:val="00FC3F86"/>
    <w:rsid w:val="00FD4693"/>
    <w:rsid w:val="00FD5776"/>
    <w:rsid w:val="00FD7787"/>
    <w:rsid w:val="00FE6EFE"/>
    <w:rsid w:val="00FE7CB4"/>
    <w:rsid w:val="00FF7D5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FA40C"/>
  <w15:docId w15:val="{E871DADD-612B-48CB-93D5-818334B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7E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7E21"/>
    <w:rPr>
      <w:u w:val="single"/>
    </w:rPr>
  </w:style>
  <w:style w:type="paragraph" w:styleId="Zhlav">
    <w:name w:val="header"/>
    <w:link w:val="ZhlavChar"/>
    <w:rsid w:val="00397E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customStyle="1" w:styleId="ZhlavChar">
    <w:name w:val="Záhlaví Char"/>
    <w:basedOn w:val="Standardnpsmoodstavce"/>
    <w:link w:val="Zhlav"/>
    <w:rsid w:val="00397E21"/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customStyle="1" w:styleId="dn">
    <w:name w:val="Žádný"/>
    <w:rsid w:val="00397E21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FAF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3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3E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3E44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E44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D7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FD7"/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paragraph" w:styleId="Bezmezer">
    <w:name w:val="No Spacing"/>
    <w:uiPriority w:val="1"/>
    <w:qFormat/>
    <w:rsid w:val="00A02B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3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95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32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87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35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44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9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0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4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6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4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0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1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4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52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44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cois.cz/ok-smart-opportunity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ereza.kunova@bcas.cz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www.b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2D32-E13B-4E0F-B54B-6DB37807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Baštýřová</dc:creator>
  <cp:keywords/>
  <dc:description/>
  <cp:lastModifiedBy>Tereza Kunová</cp:lastModifiedBy>
  <cp:revision>53</cp:revision>
  <cp:lastPrinted>2018-12-20T11:40:00Z</cp:lastPrinted>
  <dcterms:created xsi:type="dcterms:W3CDTF">2020-08-31T15:54:00Z</dcterms:created>
  <dcterms:modified xsi:type="dcterms:W3CDTF">2021-10-18T07:40:00Z</dcterms:modified>
</cp:coreProperties>
</file>