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52E7F" w14:textId="5A5771A8" w:rsidR="005F1A8B" w:rsidRPr="00E52DD7" w:rsidRDefault="00F573A7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</w:pPr>
      <w:r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N</w:t>
      </w:r>
      <w:r w:rsidR="005906CF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ov</w:t>
      </w:r>
      <w:r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á </w:t>
      </w:r>
      <w:r w:rsidR="005906CF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služb</w:t>
      </w:r>
      <w:r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a</w:t>
      </w:r>
      <w:r w:rsidR="005906CF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 MONECO </w:t>
      </w:r>
      <w:proofErr w:type="spellStart"/>
      <w:r w:rsidR="005906CF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Family</w:t>
      </w:r>
      <w:proofErr w:type="spellEnd"/>
      <w:r w:rsidR="005906CF" w:rsidRPr="00E52DD7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 Office</w:t>
      </w:r>
      <w:r w:rsidR="009B73DA"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 </w:t>
      </w:r>
      <w:r>
        <w:rPr>
          <w:rStyle w:val="dn"/>
          <w:rFonts w:ascii="Arial" w:hAnsi="Arial" w:cs="Arial"/>
          <w:b/>
          <w:bCs/>
          <w:color w:val="auto"/>
          <w:sz w:val="28"/>
          <w:szCs w:val="28"/>
          <w:lang w:val="cs-CZ"/>
        </w:rPr>
        <w:t>pomůže bonitním klientům s organizací investic a správou majetku</w:t>
      </w:r>
    </w:p>
    <w:p w14:paraId="064C4193" w14:textId="77777777" w:rsidR="009B6070" w:rsidRDefault="009B6070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color w:val="auto"/>
          <w:sz w:val="20"/>
          <w:szCs w:val="20"/>
          <w:lang w:val="cs-CZ"/>
        </w:rPr>
      </w:pPr>
    </w:p>
    <w:p w14:paraId="5AF0474E" w14:textId="12C52CDD" w:rsidR="00FF7D56" w:rsidRPr="00910BA8" w:rsidRDefault="0075657B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</w:pPr>
      <w:r w:rsidRPr="009E2682">
        <w:rPr>
          <w:rFonts w:ascii="Arial" w:hAnsi="Arial" w:cs="Arial"/>
          <w:i/>
          <w:color w:val="auto"/>
          <w:sz w:val="20"/>
          <w:szCs w:val="20"/>
          <w:lang w:val="cs-CZ"/>
        </w:rPr>
        <w:t xml:space="preserve">Praha </w:t>
      </w:r>
      <w:r w:rsidR="00804EBB">
        <w:rPr>
          <w:rFonts w:ascii="Arial" w:hAnsi="Arial" w:cs="Arial"/>
          <w:i/>
          <w:color w:val="auto"/>
          <w:sz w:val="20"/>
          <w:szCs w:val="20"/>
          <w:lang w:val="cs-CZ"/>
        </w:rPr>
        <w:t>25</w:t>
      </w:r>
      <w:bookmarkStart w:id="0" w:name="_GoBack"/>
      <w:bookmarkEnd w:id="0"/>
      <w:r w:rsidR="00E15F87">
        <w:rPr>
          <w:rFonts w:ascii="Arial" w:hAnsi="Arial" w:cs="Arial"/>
          <w:i/>
          <w:color w:val="auto"/>
          <w:sz w:val="20"/>
          <w:szCs w:val="20"/>
          <w:lang w:val="cs-CZ"/>
        </w:rPr>
        <w:t>. října</w:t>
      </w:r>
      <w:r w:rsidRPr="009E2682">
        <w:rPr>
          <w:rFonts w:ascii="Arial" w:hAnsi="Arial" w:cs="Arial"/>
          <w:i/>
          <w:color w:val="auto"/>
          <w:sz w:val="20"/>
          <w:szCs w:val="20"/>
          <w:lang w:val="cs-CZ"/>
        </w:rPr>
        <w:t xml:space="preserve"> 202</w:t>
      </w:r>
      <w:r w:rsidR="005F1A8B" w:rsidRPr="009E2682">
        <w:rPr>
          <w:rFonts w:ascii="Arial" w:hAnsi="Arial" w:cs="Arial"/>
          <w:i/>
          <w:color w:val="auto"/>
          <w:sz w:val="20"/>
          <w:szCs w:val="20"/>
          <w:lang w:val="cs-CZ"/>
        </w:rPr>
        <w:t>1</w:t>
      </w:r>
      <w:r w:rsidRPr="00910BA8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</w:t>
      </w:r>
      <w:r w:rsidRPr="009070C0">
        <w:rPr>
          <w:rFonts w:ascii="Arial" w:hAnsi="Arial" w:cs="Arial"/>
          <w:color w:val="auto"/>
          <w:sz w:val="20"/>
          <w:szCs w:val="20"/>
          <w:lang w:val="cs-CZ"/>
        </w:rPr>
        <w:t>–</w:t>
      </w:r>
      <w:r w:rsidR="00F573A7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Ve snaze vyjít vstříc potřebám nejnáročnější klientely </w:t>
      </w:r>
      <w:r w:rsidR="009B6070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spouštějí společnosti Broker Consulting a MONECO investiční společnost </w:t>
      </w:r>
      <w:r w:rsidR="009B6070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novou službu </w:t>
      </w:r>
      <w:r w:rsidR="009B6070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MONECO </w:t>
      </w:r>
      <w:proofErr w:type="spellStart"/>
      <w:r w:rsidR="009B6070">
        <w:rPr>
          <w:rFonts w:ascii="Arial" w:hAnsi="Arial" w:cs="Arial"/>
          <w:b/>
          <w:color w:val="auto"/>
          <w:sz w:val="20"/>
          <w:szCs w:val="20"/>
          <w:lang w:val="cs-CZ"/>
        </w:rPr>
        <w:t>Family</w:t>
      </w:r>
      <w:proofErr w:type="spellEnd"/>
      <w:r w:rsidR="009B6070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 Office. </w:t>
      </w:r>
      <w:r w:rsidR="006A4663">
        <w:rPr>
          <w:rFonts w:ascii="Arial" w:hAnsi="Arial" w:cs="Arial"/>
          <w:b/>
          <w:color w:val="auto"/>
          <w:sz w:val="20"/>
          <w:szCs w:val="20"/>
          <w:lang w:val="cs-CZ"/>
        </w:rPr>
        <w:t>Komplexní p</w:t>
      </w:r>
      <w:r w:rsidR="009B6070">
        <w:rPr>
          <w:rFonts w:ascii="Arial" w:hAnsi="Arial" w:cs="Arial"/>
          <w:b/>
          <w:color w:val="auto"/>
          <w:sz w:val="20"/>
          <w:szCs w:val="20"/>
          <w:lang w:val="cs-CZ"/>
        </w:rPr>
        <w:t xml:space="preserve">oradenská služba, na které se podílejí investiční specialisté, advokáti a daňoví poradci, pomůže bonitním klientům lépe strukturovat vlastněný majetek v podobě podílů na firmách, nemovitostí nebo uměleckých děl. </w:t>
      </w:r>
    </w:p>
    <w:p w14:paraId="228299C7" w14:textId="77777777" w:rsidR="0088065B" w:rsidRDefault="0088065B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/>
          <w:bCs/>
          <w:i/>
          <w:color w:val="auto"/>
          <w:sz w:val="20"/>
          <w:szCs w:val="20"/>
          <w:lang w:val="cs-CZ"/>
        </w:rPr>
      </w:pPr>
      <w:r w:rsidRPr="00683D01"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„MONECO </w:t>
      </w:r>
      <w:proofErr w:type="spellStart"/>
      <w:r w:rsidRPr="00683D01">
        <w:rPr>
          <w:rFonts w:ascii="Arial" w:hAnsi="Arial"/>
          <w:bCs/>
          <w:i/>
          <w:color w:val="auto"/>
          <w:sz w:val="20"/>
          <w:szCs w:val="20"/>
          <w:lang w:val="cs-CZ"/>
        </w:rPr>
        <w:t>Family</w:t>
      </w:r>
      <w:proofErr w:type="spellEnd"/>
      <w:r w:rsidRPr="00683D01"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 Office </w:t>
      </w:r>
      <w:r w:rsidRPr="00F13DEB"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jsme vytvořili v reakci na </w:t>
      </w:r>
      <w:r>
        <w:rPr>
          <w:rFonts w:ascii="Arial" w:hAnsi="Arial"/>
          <w:bCs/>
          <w:i/>
          <w:color w:val="auto"/>
          <w:sz w:val="20"/>
          <w:szCs w:val="20"/>
          <w:lang w:val="cs-CZ"/>
        </w:rPr>
        <w:t>potřeby bonitních klientů skupiny Broker Consulting</w:t>
      </w:r>
      <w:r w:rsidRPr="00F13DEB">
        <w:rPr>
          <w:rFonts w:ascii="Arial" w:hAnsi="Arial"/>
          <w:bCs/>
          <w:i/>
          <w:color w:val="auto"/>
          <w:sz w:val="20"/>
          <w:szCs w:val="20"/>
          <w:lang w:val="cs-CZ"/>
        </w:rPr>
        <w:t>, ať</w:t>
      </w:r>
      <w:r w:rsidRPr="00683D01"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 už se jedná o dědice rozsáhlých majetků, </w:t>
      </w:r>
      <w:r>
        <w:rPr>
          <w:rFonts w:ascii="Arial" w:hAnsi="Arial"/>
          <w:bCs/>
          <w:i/>
          <w:color w:val="auto"/>
          <w:sz w:val="20"/>
          <w:szCs w:val="20"/>
          <w:lang w:val="cs-CZ"/>
        </w:rPr>
        <w:t>majitele</w:t>
      </w:r>
      <w:r w:rsidRPr="00683D01"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 firem, podnikatele či vlastníky nemovitostních portfolií. </w:t>
      </w:r>
      <w:r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Naším posláním je nabídnout </w:t>
      </w:r>
      <w:r w:rsidRPr="00683D01">
        <w:rPr>
          <w:rFonts w:ascii="Arial" w:hAnsi="Arial"/>
          <w:bCs/>
          <w:i/>
          <w:color w:val="auto"/>
          <w:sz w:val="20"/>
          <w:szCs w:val="20"/>
          <w:lang w:val="cs-CZ"/>
        </w:rPr>
        <w:t>těmto náročným klientům</w:t>
      </w:r>
      <w:r w:rsidRPr="00CD6230"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 investičně a daňově optimální</w:t>
      </w:r>
      <w:r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 řešení, včetně</w:t>
      </w:r>
      <w:r w:rsidRPr="00CD6230"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 předávání majetku</w:t>
      </w:r>
      <w:r>
        <w:rPr>
          <w:rFonts w:ascii="Arial" w:hAnsi="Arial"/>
          <w:bCs/>
          <w:i/>
          <w:color w:val="auto"/>
          <w:sz w:val="20"/>
          <w:szCs w:val="20"/>
          <w:lang w:val="cs-CZ"/>
        </w:rPr>
        <w:t xml:space="preserve"> </w:t>
      </w:r>
      <w:r w:rsidRPr="00CD6230">
        <w:rPr>
          <w:rFonts w:ascii="Arial" w:hAnsi="Arial"/>
          <w:bCs/>
          <w:i/>
          <w:color w:val="auto"/>
          <w:sz w:val="20"/>
          <w:szCs w:val="20"/>
          <w:lang w:val="cs-CZ"/>
        </w:rPr>
        <w:t>dalším generacím</w:t>
      </w:r>
      <w:r>
        <w:rPr>
          <w:rFonts w:ascii="Arial" w:hAnsi="Arial"/>
          <w:bCs/>
          <w:i/>
          <w:color w:val="auto"/>
          <w:sz w:val="20"/>
          <w:szCs w:val="20"/>
          <w:lang w:val="cs-CZ"/>
        </w:rPr>
        <w:t>. Služba je zajištěna velmi zkušeným realizačním týmem a je pojata komplexně, čímž se odlišuje od naprosté většiny konkurenčních konceptů</w:t>
      </w:r>
      <w:r w:rsidRPr="00683D01">
        <w:rPr>
          <w:rFonts w:ascii="Arial" w:hAnsi="Arial"/>
          <w:bCs/>
          <w:i/>
          <w:color w:val="auto"/>
          <w:sz w:val="20"/>
          <w:szCs w:val="20"/>
          <w:lang w:val="cs-CZ"/>
        </w:rPr>
        <w:t>,“</w:t>
      </w:r>
      <w:r>
        <w:rPr>
          <w:rFonts w:ascii="Arial" w:hAnsi="Arial"/>
          <w:bCs/>
          <w:color w:val="auto"/>
          <w:sz w:val="20"/>
          <w:szCs w:val="20"/>
          <w:lang w:val="cs-CZ"/>
        </w:rPr>
        <w:t xml:space="preserve"> vyjmenovává důvody vzniku této služby její </w:t>
      </w:r>
      <w:r w:rsidRPr="00E15F87">
        <w:rPr>
          <w:rFonts w:ascii="Arial" w:hAnsi="Arial"/>
          <w:b/>
          <w:bCs/>
          <w:color w:val="auto"/>
          <w:sz w:val="20"/>
          <w:szCs w:val="20"/>
          <w:lang w:val="cs-CZ"/>
        </w:rPr>
        <w:t xml:space="preserve">garant </w:t>
      </w:r>
      <w:r w:rsidRPr="00CD6230">
        <w:rPr>
          <w:rFonts w:ascii="Arial" w:hAnsi="Arial"/>
          <w:b/>
          <w:bCs/>
          <w:color w:val="auto"/>
          <w:sz w:val="20"/>
          <w:szCs w:val="20"/>
          <w:lang w:val="cs-CZ"/>
        </w:rPr>
        <w:t>Martin Hanzlík</w:t>
      </w:r>
      <w:r>
        <w:rPr>
          <w:rFonts w:ascii="Arial" w:hAnsi="Arial"/>
          <w:bCs/>
          <w:color w:val="auto"/>
          <w:sz w:val="20"/>
          <w:szCs w:val="20"/>
          <w:lang w:val="cs-CZ"/>
        </w:rPr>
        <w:t>.</w:t>
      </w:r>
    </w:p>
    <w:p w14:paraId="38D24563" w14:textId="1BF54BC5" w:rsidR="00932858" w:rsidRPr="00F1650A" w:rsidRDefault="00F1650A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/>
          <w:b/>
          <w:color w:val="auto"/>
          <w:sz w:val="20"/>
          <w:szCs w:val="20"/>
          <w:lang w:val="cs-CZ"/>
        </w:rPr>
      </w:pPr>
      <w:r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Tato komplexní poradenská služba vznikla</w:t>
      </w:r>
      <w:r w:rsidR="0088065B" w:rsidRPr="0088065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ve spolupráci </w:t>
      </w:r>
      <w:r w:rsidR="0093285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firem</w:t>
      </w:r>
      <w:r w:rsidR="0088065B" w:rsidRPr="0088065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Broker Consulting, MONECO a MONECO investiční společnost</w:t>
      </w:r>
      <w:r w:rsidR="0088065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v srpnu </w:t>
      </w:r>
      <w:r w:rsidR="0093285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tohoto roku. Je u</w:t>
      </w:r>
      <w:r w:rsidR="0088065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rčena bonitním klientům s majetkem ve stovkách milionů korun</w:t>
      </w:r>
      <w:r w:rsidR="0093285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.</w:t>
      </w:r>
      <w:r w:rsidR="0088065B" w:rsidRPr="0093285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 „Základním pilířem služby je poradenství, a to nejen poradenství kam investovat, ale zejména jakým způsobem organizovat investice a správu majetku</w:t>
      </w:r>
      <w:r w:rsidR="00932858" w:rsidRPr="0093285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>,</w:t>
      </w:r>
      <w:r w:rsidR="0093285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>“</w:t>
      </w:r>
      <w:r w:rsidR="00932858" w:rsidRPr="00932858">
        <w:rPr>
          <w:rStyle w:val="dn"/>
          <w:rFonts w:ascii="Arial" w:hAnsi="Arial"/>
          <w:bCs/>
          <w:i/>
          <w:color w:val="auto"/>
          <w:sz w:val="20"/>
          <w:szCs w:val="20"/>
          <w:lang w:val="cs-CZ"/>
        </w:rPr>
        <w:t xml:space="preserve"> </w:t>
      </w:r>
      <w:r w:rsidR="00932858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vysvětluje </w:t>
      </w:r>
      <w:r w:rsidR="00932858" w:rsidRPr="00932858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>Jiří Šindelář</w:t>
      </w:r>
      <w:r w:rsidR="00932858" w:rsidRPr="00F1650A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t xml:space="preserve">, </w:t>
      </w:r>
      <w:r w:rsidR="00932858" w:rsidRPr="00F1650A">
        <w:rPr>
          <w:rStyle w:val="dn"/>
          <w:rFonts w:ascii="Arial" w:hAnsi="Arial"/>
          <w:b/>
          <w:color w:val="auto"/>
          <w:sz w:val="20"/>
          <w:szCs w:val="20"/>
          <w:lang w:val="cs-CZ"/>
        </w:rPr>
        <w:t>ředitel investiční divize skupiny Broker Consulting a generální ředitel MONECO investiční společnosti.</w:t>
      </w:r>
    </w:p>
    <w:p w14:paraId="3944FE29" w14:textId="38723276" w:rsidR="00932858" w:rsidRDefault="00932858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/>
          <w:b/>
          <w:bCs/>
          <w:color w:val="auto"/>
          <w:lang w:val="cs-CZ"/>
        </w:rPr>
      </w:pPr>
      <w:r w:rsidRPr="00CD623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Služba MONECO </w:t>
      </w:r>
      <w:proofErr w:type="spellStart"/>
      <w:r w:rsidRPr="00CD623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Family</w:t>
      </w:r>
      <w:proofErr w:type="spellEnd"/>
      <w:r w:rsidRPr="00CD623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Office, na níž se podílejí</w:t>
      </w:r>
      <w:r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nejrůznější</w:t>
      </w:r>
      <w:r w:rsidRPr="00CD623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odborníci</w:t>
      </w:r>
      <w:r w:rsidRPr="00CD623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z řad MONECO </w:t>
      </w:r>
      <w:r w:rsidRPr="00CD623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investiční společnos</w:t>
      </w:r>
      <w:r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ti,</w:t>
      </w:r>
      <w:r w:rsidRPr="00CD6230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advokátů i daňových </w:t>
      </w:r>
      <w:r w:rsidRPr="00F13DE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poradců, zajistí </w:t>
      </w:r>
      <w:r w:rsidR="006A4663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nejnáročnějším</w:t>
      </w:r>
      <w:r w:rsidRPr="00F13DE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klientům audit celého jejich majetku a vytvoří optimální strukturu pro dosažení jejich specifických cílů.</w:t>
      </w:r>
      <w:r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 w:rsidRPr="00F13DE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Těmi mohou být například </w:t>
      </w:r>
      <w:r w:rsidRPr="00831A6D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vytvoření investičního fondu na míru a plánu ustavujícího nakládání s rodinným majetkem,</w:t>
      </w:r>
      <w:r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 w:rsidRPr="00F13DE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oddělení vlastnictví majetku od jeho správy nebo dělba majetku a výplaty pro dědice.</w:t>
      </w:r>
      <w:r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 xml:space="preserve"> </w:t>
      </w:r>
      <w:r w:rsidRPr="0088065B">
        <w:rPr>
          <w:rStyle w:val="dn"/>
          <w:rFonts w:ascii="Arial" w:hAnsi="Arial"/>
          <w:bCs/>
          <w:color w:val="auto"/>
          <w:sz w:val="20"/>
          <w:szCs w:val="20"/>
          <w:lang w:val="cs-CZ"/>
        </w:rPr>
        <w:t>Služba je s ohledem na rozdílné výše majetků vysoce individuální.</w:t>
      </w:r>
      <w:r w:rsidRPr="006A3858">
        <w:rPr>
          <w:rStyle w:val="dn"/>
          <w:rFonts w:ascii="Arial" w:hAnsi="Arial"/>
          <w:b/>
          <w:bCs/>
          <w:color w:val="auto"/>
          <w:lang w:val="cs-CZ"/>
        </w:rPr>
        <w:t xml:space="preserve"> </w:t>
      </w:r>
    </w:p>
    <w:p w14:paraId="28FC74D6" w14:textId="017EADE8" w:rsidR="006A3858" w:rsidRDefault="006A3858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dn"/>
          <w:rFonts w:ascii="Arial" w:hAnsi="Arial"/>
          <w:b/>
          <w:bCs/>
          <w:color w:val="auto"/>
          <w:lang w:val="cs-CZ"/>
        </w:rPr>
      </w:pPr>
      <w:r w:rsidRPr="006A3858">
        <w:rPr>
          <w:rStyle w:val="dn"/>
          <w:rFonts w:ascii="Arial" w:hAnsi="Arial"/>
          <w:b/>
          <w:bCs/>
          <w:color w:val="auto"/>
          <w:lang w:val="cs-CZ"/>
        </w:rPr>
        <w:t xml:space="preserve">Modelový příklad MONECO </w:t>
      </w:r>
      <w:proofErr w:type="spellStart"/>
      <w:r w:rsidRPr="006A3858">
        <w:rPr>
          <w:rStyle w:val="dn"/>
          <w:rFonts w:ascii="Arial" w:hAnsi="Arial"/>
          <w:b/>
          <w:bCs/>
          <w:color w:val="auto"/>
          <w:lang w:val="cs-CZ"/>
        </w:rPr>
        <w:t>Family</w:t>
      </w:r>
      <w:proofErr w:type="spellEnd"/>
      <w:r w:rsidRPr="006A3858">
        <w:rPr>
          <w:rStyle w:val="dn"/>
          <w:rFonts w:ascii="Arial" w:hAnsi="Arial"/>
          <w:b/>
          <w:bCs/>
          <w:color w:val="auto"/>
          <w:lang w:val="cs-CZ"/>
        </w:rPr>
        <w:t xml:space="preserve"> Office</w:t>
      </w:r>
    </w:p>
    <w:p w14:paraId="256E05B9" w14:textId="651811F6" w:rsidR="00932858" w:rsidRDefault="006A4663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dn"/>
          <w:rFonts w:ascii="Arial" w:hAnsi="Arial"/>
          <w:b/>
          <w:bCs/>
          <w:sz w:val="18"/>
          <w:szCs w:val="20"/>
          <w:lang w:val="cs-CZ"/>
        </w:rPr>
      </w:pPr>
      <w:r>
        <w:rPr>
          <w:rStyle w:val="dn"/>
          <w:rFonts w:ascii="Arial" w:hAnsi="Arial"/>
          <w:b/>
          <w:bCs/>
          <w:noProof/>
          <w:color w:val="auto"/>
          <w:sz w:val="20"/>
          <w:szCs w:val="20"/>
          <w:lang w:val="cs-CZ"/>
        </w:rPr>
        <w:drawing>
          <wp:inline distT="0" distB="0" distL="0" distR="0" wp14:anchorId="3CF04F81" wp14:editId="0BDD6BBB">
            <wp:extent cx="3341412" cy="2946400"/>
            <wp:effectExtent l="0" t="0" r="0" b="6350"/>
            <wp:docPr id="1" name="Obrázek 1" descr="Modelovy pri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lovy prikl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89" cy="294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DEB">
        <w:rPr>
          <w:rStyle w:val="dn"/>
          <w:rFonts w:ascii="Arial" w:hAnsi="Arial"/>
          <w:b/>
          <w:bCs/>
          <w:color w:val="auto"/>
          <w:sz w:val="20"/>
          <w:szCs w:val="20"/>
          <w:lang w:val="cs-CZ"/>
        </w:rPr>
        <w:br w:type="textWrapping" w:clear="all"/>
      </w:r>
    </w:p>
    <w:p w14:paraId="42CB7F3E" w14:textId="77777777" w:rsidR="00691A4E" w:rsidRDefault="00691A4E" w:rsidP="00691A4E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/>
          <w:sz w:val="18"/>
          <w:szCs w:val="18"/>
          <w:lang w:val="cs-CZ"/>
        </w:rPr>
      </w:pPr>
    </w:p>
    <w:p w14:paraId="587DD1FF" w14:textId="481AAF7F" w:rsidR="00B8515C" w:rsidRPr="002E0D8B" w:rsidRDefault="006A4663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/>
          <w:bCs/>
          <w:color w:val="auto"/>
          <w:sz w:val="18"/>
          <w:szCs w:val="18"/>
          <w:lang w:val="cs-CZ"/>
        </w:rPr>
      </w:pPr>
      <w:r>
        <w:rPr>
          <w:rFonts w:ascii="Arial" w:hAnsi="Arial"/>
          <w:sz w:val="18"/>
          <w:szCs w:val="18"/>
          <w:lang w:val="cs-CZ"/>
        </w:rPr>
        <w:t>G</w:t>
      </w:r>
      <w:r w:rsidR="002E0D8B">
        <w:rPr>
          <w:rFonts w:ascii="Arial" w:hAnsi="Arial"/>
          <w:sz w:val="18"/>
          <w:szCs w:val="18"/>
          <w:lang w:val="cs-CZ"/>
        </w:rPr>
        <w:t xml:space="preserve">arantem služby </w:t>
      </w:r>
      <w:r>
        <w:rPr>
          <w:rFonts w:ascii="Arial" w:hAnsi="Arial"/>
          <w:sz w:val="18"/>
          <w:szCs w:val="18"/>
          <w:lang w:val="cs-CZ"/>
        </w:rPr>
        <w:t xml:space="preserve">MONECO </w:t>
      </w:r>
      <w:proofErr w:type="spellStart"/>
      <w:r>
        <w:rPr>
          <w:rFonts w:ascii="Arial" w:hAnsi="Arial"/>
          <w:sz w:val="18"/>
          <w:szCs w:val="18"/>
          <w:lang w:val="cs-CZ"/>
        </w:rPr>
        <w:t>Family</w:t>
      </w:r>
      <w:proofErr w:type="spellEnd"/>
      <w:r>
        <w:rPr>
          <w:rFonts w:ascii="Arial" w:hAnsi="Arial"/>
          <w:sz w:val="18"/>
          <w:szCs w:val="18"/>
          <w:lang w:val="cs-CZ"/>
        </w:rPr>
        <w:t xml:space="preserve"> Office </w:t>
      </w:r>
      <w:r w:rsidR="002E0D8B">
        <w:rPr>
          <w:rFonts w:ascii="Arial" w:hAnsi="Arial"/>
          <w:sz w:val="18"/>
          <w:szCs w:val="18"/>
          <w:lang w:val="cs-CZ"/>
        </w:rPr>
        <w:t xml:space="preserve">je </w:t>
      </w:r>
      <w:r w:rsidR="002E0D8B"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  <w:t xml:space="preserve">Ing. Martin Hanzlík, </w:t>
      </w:r>
      <w:proofErr w:type="gramStart"/>
      <w:r w:rsidR="002E0D8B"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  <w:t>LL.M</w:t>
      </w:r>
      <w:r w:rsidR="002E0D8B" w:rsidRPr="002E0D8B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>.</w:t>
      </w:r>
      <w:proofErr w:type="gramEnd"/>
      <w:r w:rsidR="002E0D8B" w:rsidRPr="002E0D8B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>, který je</w:t>
      </w:r>
      <w:r w:rsidR="002E0D8B"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  <w:t xml:space="preserve"> </w:t>
      </w:r>
      <w:r w:rsidR="00B8515C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 xml:space="preserve">předním českým investičním bankéřem se </w:t>
      </w:r>
      <w:r w:rsidR="002E0D8B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 xml:space="preserve">28letou </w:t>
      </w:r>
      <w:r w:rsidR="00B8515C" w:rsidRPr="00B8515C">
        <w:rPr>
          <w:rFonts w:ascii="Arial" w:hAnsi="Arial"/>
          <w:bCs/>
          <w:color w:val="auto"/>
          <w:sz w:val="18"/>
          <w:szCs w:val="18"/>
          <w:lang w:val="cs-CZ"/>
        </w:rPr>
        <w:t>zkušeností na kapitálovém trhu</w:t>
      </w:r>
      <w:r w:rsidR="00B8515C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 xml:space="preserve">. V současné době působí jako člen představenstva a ředitel alternativních projektů </w:t>
      </w:r>
      <w:hyperlink r:id="rId8" w:history="1">
        <w:r w:rsidR="00B8515C" w:rsidRPr="00691A4E">
          <w:rPr>
            <w:rStyle w:val="Hypertextovodkaz"/>
            <w:rFonts w:ascii="Arial" w:hAnsi="Arial"/>
            <w:bCs/>
            <w:color w:val="0066FF"/>
            <w:sz w:val="18"/>
            <w:szCs w:val="18"/>
            <w:lang w:val="cs-CZ"/>
          </w:rPr>
          <w:t>MONECO investiční společnosti</w:t>
        </w:r>
      </w:hyperlink>
      <w:r w:rsidR="00B8515C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 xml:space="preserve">. Současně je místopředsedou dozorčí rady Národní rozvojové banky a poradcem v oblasti strukturovaného financování </w:t>
      </w:r>
      <w:r w:rsidR="002E0D8B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 xml:space="preserve">řady </w:t>
      </w:r>
      <w:r w:rsidR="00B8515C">
        <w:rPr>
          <w:rStyle w:val="dn"/>
          <w:rFonts w:ascii="Arial" w:hAnsi="Arial"/>
          <w:bCs/>
          <w:color w:val="auto"/>
          <w:sz w:val="18"/>
          <w:szCs w:val="18"/>
          <w:lang w:val="cs-CZ"/>
        </w:rPr>
        <w:t xml:space="preserve">státních orgánů – MPO, MF, MŽP či MMR. </w:t>
      </w:r>
      <w:r w:rsidR="00B8515C">
        <w:rPr>
          <w:rFonts w:ascii="Arial" w:hAnsi="Arial"/>
          <w:bCs/>
          <w:color w:val="auto"/>
          <w:sz w:val="18"/>
          <w:szCs w:val="18"/>
          <w:lang w:val="cs-CZ"/>
        </w:rPr>
        <w:t xml:space="preserve">Je </w:t>
      </w:r>
      <w:r w:rsidR="002E0D8B">
        <w:rPr>
          <w:rFonts w:ascii="Arial" w:hAnsi="Arial"/>
          <w:bCs/>
          <w:color w:val="auto"/>
          <w:sz w:val="18"/>
          <w:szCs w:val="18"/>
          <w:lang w:val="cs-CZ"/>
        </w:rPr>
        <w:t xml:space="preserve">také </w:t>
      </w:r>
      <w:r w:rsidR="00B8515C">
        <w:rPr>
          <w:rFonts w:ascii="Arial" w:hAnsi="Arial"/>
          <w:bCs/>
          <w:color w:val="auto"/>
          <w:sz w:val="18"/>
          <w:szCs w:val="18"/>
          <w:lang w:val="cs-CZ"/>
        </w:rPr>
        <w:t>spoluautorem zákona o investičních společnostech a investičních fondech, základního pilíře fondové regulace pro finančních instituce působící v ČR.</w:t>
      </w:r>
      <w:r w:rsidR="00691A4E">
        <w:rPr>
          <w:rFonts w:ascii="Arial" w:hAnsi="Arial"/>
          <w:bCs/>
          <w:color w:val="auto"/>
          <w:sz w:val="18"/>
          <w:szCs w:val="18"/>
          <w:lang w:val="cs-CZ"/>
        </w:rPr>
        <w:t xml:space="preserve"> </w:t>
      </w:r>
    </w:p>
    <w:p w14:paraId="482A6B1A" w14:textId="6DD8EFF2" w:rsidR="00A02B73" w:rsidRPr="00A02B73" w:rsidRDefault="006A4663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18"/>
          <w:szCs w:val="18"/>
        </w:rPr>
      </w:pPr>
      <w:r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  <w:t>O</w:t>
      </w:r>
      <w:r w:rsidR="008040F7" w:rsidRPr="00A02B73"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  <w:t xml:space="preserve"> </w:t>
      </w:r>
      <w:r w:rsidR="008040F7">
        <w:rPr>
          <w:rStyle w:val="dn"/>
          <w:rFonts w:ascii="Arial" w:hAnsi="Arial"/>
          <w:b/>
          <w:bCs/>
          <w:color w:val="auto"/>
          <w:sz w:val="18"/>
          <w:szCs w:val="18"/>
          <w:lang w:val="cs-CZ"/>
        </w:rPr>
        <w:t xml:space="preserve">skupině </w:t>
      </w:r>
      <w:r w:rsidR="00A02B73" w:rsidRPr="00A02B73">
        <w:rPr>
          <w:rFonts w:ascii="Arial" w:hAnsi="Arial" w:cs="Arial"/>
          <w:b/>
          <w:sz w:val="18"/>
          <w:szCs w:val="18"/>
        </w:rPr>
        <w:t>Broker Consulting</w:t>
      </w:r>
    </w:p>
    <w:p w14:paraId="3DD54F21" w14:textId="1A32F3A6" w:rsidR="00CF0D82" w:rsidRPr="009E2682" w:rsidRDefault="00A02B73" w:rsidP="006A4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dn"/>
          <w:rFonts w:ascii="Arial" w:hAnsi="Arial" w:cs="Arial"/>
          <w:bCs/>
          <w:sz w:val="20"/>
          <w:szCs w:val="20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Širší skupina </w:t>
      </w:r>
      <w:hyperlink r:id="rId9" w:history="1">
        <w:r w:rsidRPr="00691A4E">
          <w:rPr>
            <w:rStyle w:val="Hypertextovodkaz"/>
            <w:rFonts w:ascii="Arial" w:hAnsi="Arial"/>
            <w:bCs/>
            <w:color w:val="0066FF"/>
            <w:sz w:val="18"/>
            <w:szCs w:val="18"/>
            <w:lang w:val="cs-CZ"/>
          </w:rPr>
          <w:t>Broker Consulting</w:t>
        </w:r>
      </w:hyperlink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se </w:t>
      </w:r>
      <w:r w:rsidR="008040F7">
        <w:rPr>
          <w:rStyle w:val="dn"/>
          <w:rFonts w:ascii="Arial" w:hAnsi="Arial"/>
          <w:sz w:val="18"/>
          <w:szCs w:val="18"/>
          <w:lang w:val="cs-CZ"/>
        </w:rPr>
        <w:t>vedle</w:t>
      </w: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finančního a realitního zprostředkování </w:t>
      </w:r>
      <w:r w:rsidR="008040F7" w:rsidRPr="00A02B73">
        <w:rPr>
          <w:rStyle w:val="dn"/>
          <w:rFonts w:ascii="Arial" w:hAnsi="Arial"/>
          <w:sz w:val="18"/>
          <w:szCs w:val="18"/>
          <w:lang w:val="cs-CZ"/>
        </w:rPr>
        <w:t>v České republice a na Slovensku</w:t>
      </w:r>
      <w:r w:rsidR="008040F7">
        <w:rPr>
          <w:rStyle w:val="dn"/>
          <w:rFonts w:ascii="Arial" w:hAnsi="Arial"/>
          <w:sz w:val="18"/>
          <w:szCs w:val="18"/>
          <w:lang w:val="cs-CZ"/>
        </w:rPr>
        <w:t xml:space="preserve"> </w:t>
      </w: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věnuje </w:t>
      </w:r>
      <w:r w:rsidR="008040F7">
        <w:rPr>
          <w:rStyle w:val="dn"/>
          <w:rFonts w:ascii="Arial" w:hAnsi="Arial"/>
          <w:sz w:val="18"/>
          <w:szCs w:val="18"/>
          <w:lang w:val="cs-CZ"/>
        </w:rPr>
        <w:t xml:space="preserve">také </w:t>
      </w:r>
      <w:r w:rsidRPr="00A02B73">
        <w:rPr>
          <w:rStyle w:val="dn"/>
          <w:rFonts w:ascii="Arial" w:hAnsi="Arial"/>
          <w:sz w:val="18"/>
          <w:szCs w:val="18"/>
          <w:lang w:val="cs-CZ"/>
        </w:rPr>
        <w:t>developmentu, správě nemovitostí</w:t>
      </w:r>
      <w:r w:rsidR="007C6310">
        <w:rPr>
          <w:rStyle w:val="dn"/>
          <w:rFonts w:ascii="Arial" w:hAnsi="Arial"/>
          <w:sz w:val="18"/>
          <w:szCs w:val="18"/>
          <w:lang w:val="cs-CZ"/>
        </w:rPr>
        <w:t xml:space="preserve"> či</w:t>
      </w: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férovým nebankovním půjčkám. Do skupiny patří například Broker Consulting ČR, Broker Consulting Slovenská republika, </w:t>
      </w:r>
      <w:r w:rsidR="007C6310" w:rsidRPr="00A02B73">
        <w:rPr>
          <w:rStyle w:val="dn"/>
          <w:rFonts w:ascii="Arial" w:hAnsi="Arial"/>
          <w:sz w:val="18"/>
          <w:szCs w:val="18"/>
          <w:lang w:val="cs-CZ"/>
        </w:rPr>
        <w:t>MONECO investiční společnost, Broker Consulting SICAV</w:t>
      </w:r>
      <w:r w:rsidR="007C6310">
        <w:rPr>
          <w:rStyle w:val="dn"/>
          <w:rFonts w:ascii="Arial" w:hAnsi="Arial"/>
          <w:sz w:val="18"/>
          <w:szCs w:val="18"/>
          <w:lang w:val="cs-CZ"/>
        </w:rPr>
        <w:t xml:space="preserve">, </w:t>
      </w:r>
      <w:r w:rsidR="007C6310" w:rsidRPr="00A02B73">
        <w:rPr>
          <w:rStyle w:val="dn"/>
          <w:rFonts w:ascii="Arial" w:hAnsi="Arial"/>
          <w:sz w:val="18"/>
          <w:szCs w:val="18"/>
          <w:lang w:val="cs-CZ"/>
        </w:rPr>
        <w:t>BC Real</w:t>
      </w:r>
      <w:r w:rsidR="007C6310">
        <w:rPr>
          <w:rStyle w:val="dn"/>
          <w:rFonts w:ascii="Arial" w:hAnsi="Arial"/>
          <w:sz w:val="18"/>
          <w:szCs w:val="18"/>
          <w:lang w:val="cs-CZ"/>
        </w:rPr>
        <w:t>,</w:t>
      </w:r>
      <w:r w:rsidR="007C6310" w:rsidRPr="00A02B73">
        <w:rPr>
          <w:rStyle w:val="dn"/>
          <w:rFonts w:ascii="Arial" w:hAnsi="Arial"/>
          <w:sz w:val="18"/>
          <w:szCs w:val="18"/>
          <w:lang w:val="cs-CZ"/>
        </w:rPr>
        <w:t xml:space="preserve"> </w:t>
      </w:r>
      <w:proofErr w:type="spellStart"/>
      <w:r w:rsidRPr="00A02B73">
        <w:rPr>
          <w:rStyle w:val="dn"/>
          <w:rFonts w:ascii="Arial" w:hAnsi="Arial"/>
          <w:sz w:val="18"/>
          <w:szCs w:val="18"/>
          <w:lang w:val="cs-CZ"/>
        </w:rPr>
        <w:t>ProCredia</w:t>
      </w:r>
      <w:proofErr w:type="spellEnd"/>
      <w:r w:rsidRPr="00A02B73">
        <w:rPr>
          <w:rStyle w:val="dn"/>
          <w:rFonts w:ascii="Arial" w:hAnsi="Arial"/>
          <w:sz w:val="18"/>
          <w:szCs w:val="18"/>
          <w:lang w:val="cs-CZ"/>
        </w:rPr>
        <w:t>, skupina</w:t>
      </w:r>
      <w:r w:rsidR="007C6310">
        <w:rPr>
          <w:rStyle w:val="dn"/>
          <w:rFonts w:ascii="Arial" w:hAnsi="Arial"/>
          <w:sz w:val="18"/>
          <w:szCs w:val="18"/>
          <w:lang w:val="cs-CZ"/>
        </w:rPr>
        <w:t xml:space="preserve"> a PRODOMIA Group.</w:t>
      </w: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Obrat širší skupiny Broker Consulting dosáhl v roce 2020 celkové hodnoty 2,1 miliardy Kč.</w:t>
      </w:r>
      <w:r w:rsidR="003338FA">
        <w:rPr>
          <w:rStyle w:val="dn"/>
          <w:rFonts w:ascii="Arial" w:hAnsi="Arial"/>
          <w:sz w:val="18"/>
          <w:szCs w:val="18"/>
          <w:lang w:val="cs-CZ"/>
        </w:rPr>
        <w:t xml:space="preserve"> V letošním roce</w:t>
      </w:r>
      <w:r w:rsidR="00691A4E">
        <w:rPr>
          <w:rStyle w:val="dn"/>
          <w:rFonts w:ascii="Arial" w:hAnsi="Arial"/>
          <w:sz w:val="18"/>
          <w:szCs w:val="18"/>
          <w:lang w:val="cs-CZ"/>
        </w:rPr>
        <w:t xml:space="preserve"> dosahuje </w:t>
      </w:r>
      <w:r w:rsidR="00F1650A">
        <w:rPr>
          <w:rStyle w:val="dn"/>
          <w:rFonts w:ascii="Arial" w:hAnsi="Arial"/>
          <w:sz w:val="18"/>
          <w:szCs w:val="18"/>
          <w:lang w:val="cs-CZ"/>
        </w:rPr>
        <w:t xml:space="preserve">skupina </w:t>
      </w:r>
      <w:r w:rsidR="00691A4E">
        <w:rPr>
          <w:rStyle w:val="dn"/>
          <w:rFonts w:ascii="Arial" w:hAnsi="Arial"/>
          <w:sz w:val="18"/>
          <w:szCs w:val="18"/>
          <w:lang w:val="cs-CZ"/>
        </w:rPr>
        <w:t xml:space="preserve">meziročního nárůstu o </w:t>
      </w:r>
      <w:r w:rsidR="00F1650A">
        <w:rPr>
          <w:rStyle w:val="dn"/>
          <w:rFonts w:ascii="Arial" w:hAnsi="Arial"/>
          <w:sz w:val="18"/>
          <w:szCs w:val="18"/>
          <w:lang w:val="cs-CZ"/>
        </w:rPr>
        <w:t>více než 40</w:t>
      </w:r>
      <w:r w:rsidR="003338FA">
        <w:rPr>
          <w:rStyle w:val="dn"/>
          <w:rFonts w:ascii="Arial" w:hAnsi="Arial"/>
          <w:sz w:val="18"/>
          <w:szCs w:val="18"/>
          <w:lang w:val="cs-CZ"/>
        </w:rPr>
        <w:t xml:space="preserve"> %. </w:t>
      </w:r>
    </w:p>
    <w:p w14:paraId="34CDB154" w14:textId="77777777" w:rsidR="00F13DEB" w:rsidRDefault="00F13DEB" w:rsidP="006A4663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dn"/>
          <w:rFonts w:ascii="Arial" w:hAnsi="Arial"/>
          <w:b/>
          <w:sz w:val="18"/>
          <w:szCs w:val="18"/>
          <w:lang w:val="cs-CZ"/>
        </w:rPr>
      </w:pPr>
    </w:p>
    <w:p w14:paraId="225A314A" w14:textId="451E41C3" w:rsidR="00A02B73" w:rsidRDefault="00A02B73" w:rsidP="006A4663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b/>
          <w:sz w:val="18"/>
          <w:szCs w:val="18"/>
          <w:lang w:val="cs-CZ"/>
        </w:rPr>
        <w:t>Kontakt pro média:</w:t>
      </w:r>
      <w:r w:rsidRPr="00A02B73">
        <w:rPr>
          <w:rStyle w:val="dn"/>
          <w:rFonts w:ascii="Arial" w:hAnsi="Arial"/>
          <w:sz w:val="18"/>
          <w:szCs w:val="18"/>
          <w:lang w:val="cs-CZ"/>
        </w:rPr>
        <w:br/>
      </w:r>
    </w:p>
    <w:p w14:paraId="7F433F45" w14:textId="43B21847" w:rsidR="00A02B73" w:rsidRPr="00A02B73" w:rsidRDefault="00A02B73" w:rsidP="006A4663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>Tereza Kunová</w:t>
      </w:r>
    </w:p>
    <w:p w14:paraId="51DF38B2" w14:textId="77777777" w:rsidR="00A02B73" w:rsidRPr="00A02B73" w:rsidRDefault="00A02B73" w:rsidP="006A4663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>Specialistka PR a externí komunikace</w:t>
      </w:r>
    </w:p>
    <w:p w14:paraId="7B8EDD9A" w14:textId="1D275F7A" w:rsidR="00A02B73" w:rsidRPr="00A02B73" w:rsidRDefault="004D72E7" w:rsidP="006A4663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dn"/>
          <w:rFonts w:ascii="Arial" w:hAnsi="Arial"/>
          <w:sz w:val="18"/>
          <w:szCs w:val="18"/>
          <w:lang w:val="cs-CZ"/>
        </w:rPr>
      </w:pPr>
      <w:r>
        <w:rPr>
          <w:rStyle w:val="dn"/>
          <w:rFonts w:ascii="Arial" w:hAnsi="Arial"/>
          <w:sz w:val="18"/>
          <w:szCs w:val="18"/>
          <w:lang w:val="cs-CZ"/>
        </w:rPr>
        <w:t>Broker Consulting</w:t>
      </w:r>
    </w:p>
    <w:p w14:paraId="2F38869F" w14:textId="77777777" w:rsidR="00A02B73" w:rsidRPr="00A02B73" w:rsidRDefault="00A02B73" w:rsidP="006A4663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>mobil: +420 731 537 716</w:t>
      </w:r>
    </w:p>
    <w:p w14:paraId="2691596E" w14:textId="77777777" w:rsidR="00A02B73" w:rsidRPr="00A02B73" w:rsidRDefault="00A02B73" w:rsidP="006A4663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dn"/>
          <w:rFonts w:ascii="Arial" w:hAnsi="Arial"/>
          <w:sz w:val="18"/>
          <w:szCs w:val="18"/>
          <w:lang w:val="cs-CZ"/>
        </w:rPr>
      </w:pPr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e-mail: </w:t>
      </w:r>
      <w:hyperlink r:id="rId10" w:history="1">
        <w:r w:rsidRPr="00A02B73">
          <w:rPr>
            <w:rStyle w:val="Hypertextovodkaz"/>
            <w:rFonts w:ascii="Arial" w:hAnsi="Arial" w:cs="Arial"/>
            <w:bCs/>
            <w:color w:val="0066FF"/>
            <w:sz w:val="18"/>
            <w:szCs w:val="18"/>
          </w:rPr>
          <w:t>tereza.kunova@bcas.cz</w:t>
        </w:r>
      </w:hyperlink>
      <w:r w:rsidRPr="00A02B73">
        <w:rPr>
          <w:rStyle w:val="dn"/>
          <w:rFonts w:ascii="Arial" w:hAnsi="Arial"/>
          <w:sz w:val="18"/>
          <w:szCs w:val="18"/>
          <w:lang w:val="cs-CZ"/>
        </w:rPr>
        <w:t xml:space="preserve"> </w:t>
      </w:r>
    </w:p>
    <w:p w14:paraId="622A2173" w14:textId="4E406619" w:rsidR="00397E21" w:rsidRDefault="00397E21" w:rsidP="006A4663">
      <w:pPr>
        <w:pStyle w:val="Bezmez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dn"/>
          <w:rFonts w:ascii="Arial" w:hAnsi="Arial" w:cs="Arial"/>
          <w:sz w:val="18"/>
          <w:szCs w:val="18"/>
        </w:rPr>
      </w:pPr>
    </w:p>
    <w:sectPr w:rsidR="00397E21" w:rsidSect="009E2682">
      <w:headerReference w:type="default" r:id="rId11"/>
      <w:pgSz w:w="11900" w:h="16840"/>
      <w:pgMar w:top="2410" w:right="1274" w:bottom="993" w:left="1134" w:header="510" w:footer="62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B409" w16cex:dateUtc="2020-08-31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1B46BA" w16cid:durableId="22F7B4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3505" w14:textId="77777777" w:rsidR="0037629B" w:rsidRDefault="0037629B">
      <w:pPr>
        <w:spacing w:after="0" w:line="240" w:lineRule="auto"/>
      </w:pPr>
      <w:r>
        <w:separator/>
      </w:r>
    </w:p>
  </w:endnote>
  <w:endnote w:type="continuationSeparator" w:id="0">
    <w:p w14:paraId="3146D695" w14:textId="77777777" w:rsidR="0037629B" w:rsidRDefault="0037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07C1B" w14:textId="77777777" w:rsidR="0037629B" w:rsidRDefault="0037629B">
      <w:pPr>
        <w:spacing w:after="0" w:line="240" w:lineRule="auto"/>
      </w:pPr>
      <w:r>
        <w:separator/>
      </w:r>
    </w:p>
  </w:footnote>
  <w:footnote w:type="continuationSeparator" w:id="0">
    <w:p w14:paraId="1735DB60" w14:textId="77777777" w:rsidR="0037629B" w:rsidRDefault="0037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7A3D" w14:textId="13EAF319" w:rsidR="00F663C1" w:rsidRDefault="006A3858" w:rsidP="00A02B73">
    <w:pPr>
      <w:pStyle w:val="Zhlav"/>
      <w:rPr>
        <w:rStyle w:val="dn"/>
        <w:rFonts w:ascii="Arial" w:hAnsi="Arial"/>
        <w:sz w:val="20"/>
        <w:szCs w:val="20"/>
      </w:rPr>
    </w:pPr>
    <w:r>
      <w:rPr>
        <w:noProof/>
        <w:lang w:val="cs-CZ"/>
      </w:rPr>
      <w:drawing>
        <wp:anchor distT="152400" distB="152400" distL="152400" distR="152400" simplePos="0" relativeHeight="251659264" behindDoc="1" locked="0" layoutInCell="1" allowOverlap="1" wp14:anchorId="7C1324CD" wp14:editId="6C44383D">
          <wp:simplePos x="0" y="0"/>
          <wp:positionH relativeFrom="margin">
            <wp:posOffset>879</wp:posOffset>
          </wp:positionH>
          <wp:positionV relativeFrom="page">
            <wp:posOffset>404445</wp:posOffset>
          </wp:positionV>
          <wp:extent cx="1611923" cy="779585"/>
          <wp:effectExtent l="0" t="0" r="7620" b="1905"/>
          <wp:wrapNone/>
          <wp:docPr id="6" name="officeArt object" descr="BC_logo_s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C_logo_slog.png" descr="BC_logo_slo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876" cy="7829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dn"/>
        <w:rFonts w:ascii="Arial" w:hAnsi="Arial" w:cs="Arial"/>
        <w:b/>
        <w:bCs/>
        <w:noProof/>
        <w:color w:val="auto"/>
        <w:sz w:val="28"/>
        <w:szCs w:val="28"/>
        <w:lang w:val="cs-CZ"/>
      </w:rPr>
      <w:drawing>
        <wp:anchor distT="0" distB="0" distL="114300" distR="114300" simplePos="0" relativeHeight="251660288" behindDoc="1" locked="0" layoutInCell="1" allowOverlap="1" wp14:anchorId="2A813D9E" wp14:editId="4C4C5A7F">
          <wp:simplePos x="0" y="0"/>
          <wp:positionH relativeFrom="column">
            <wp:posOffset>4326255</wp:posOffset>
          </wp:positionH>
          <wp:positionV relativeFrom="paragraph">
            <wp:posOffset>265430</wp:posOffset>
          </wp:positionV>
          <wp:extent cx="1670050" cy="470535"/>
          <wp:effectExtent l="0" t="0" r="6350" b="5715"/>
          <wp:wrapTight wrapText="bothSides">
            <wp:wrapPolygon edited="0">
              <wp:start x="0" y="0"/>
              <wp:lineTo x="0" y="20988"/>
              <wp:lineTo x="21436" y="20988"/>
              <wp:lineTo x="21436" y="874"/>
              <wp:lineTo x="21189" y="0"/>
              <wp:lineTo x="0" y="0"/>
            </wp:wrapPolygon>
          </wp:wrapTight>
          <wp:docPr id="3" name="Obrázek 3" descr="C:\Users\tkunova\AppData\Local\Microsoft\Windows\INetCache\Content.Word\Moneco 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kunova\AppData\Local\Microsoft\Windows\INetCache\Content.Word\Moneco 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AF"/>
    <w:rsid w:val="00015EB8"/>
    <w:rsid w:val="00024315"/>
    <w:rsid w:val="00032B2F"/>
    <w:rsid w:val="0003486F"/>
    <w:rsid w:val="00040015"/>
    <w:rsid w:val="000549AE"/>
    <w:rsid w:val="00061095"/>
    <w:rsid w:val="00062231"/>
    <w:rsid w:val="00073F67"/>
    <w:rsid w:val="00076A3C"/>
    <w:rsid w:val="00076B1F"/>
    <w:rsid w:val="000842BC"/>
    <w:rsid w:val="000960F5"/>
    <w:rsid w:val="000A0458"/>
    <w:rsid w:val="000A2847"/>
    <w:rsid w:val="000A3096"/>
    <w:rsid w:val="000A3EAF"/>
    <w:rsid w:val="000A46FF"/>
    <w:rsid w:val="000A6A50"/>
    <w:rsid w:val="000B2F08"/>
    <w:rsid w:val="000B31C0"/>
    <w:rsid w:val="000B5C70"/>
    <w:rsid w:val="000B63D3"/>
    <w:rsid w:val="000B7DDD"/>
    <w:rsid w:val="000C2D49"/>
    <w:rsid w:val="000C5CCA"/>
    <w:rsid w:val="000D7D04"/>
    <w:rsid w:val="000E1484"/>
    <w:rsid w:val="000E5885"/>
    <w:rsid w:val="000F5068"/>
    <w:rsid w:val="000F51EA"/>
    <w:rsid w:val="000F64A4"/>
    <w:rsid w:val="00112A8B"/>
    <w:rsid w:val="00120130"/>
    <w:rsid w:val="00120602"/>
    <w:rsid w:val="00122E56"/>
    <w:rsid w:val="001359AD"/>
    <w:rsid w:val="0014056C"/>
    <w:rsid w:val="00143457"/>
    <w:rsid w:val="00150034"/>
    <w:rsid w:val="00151AE3"/>
    <w:rsid w:val="001620C3"/>
    <w:rsid w:val="00164270"/>
    <w:rsid w:val="00177968"/>
    <w:rsid w:val="00180A38"/>
    <w:rsid w:val="0018151B"/>
    <w:rsid w:val="00182FBD"/>
    <w:rsid w:val="00192038"/>
    <w:rsid w:val="001A45EF"/>
    <w:rsid w:val="001B24E0"/>
    <w:rsid w:val="001C06D9"/>
    <w:rsid w:val="001C0E5B"/>
    <w:rsid w:val="001C3649"/>
    <w:rsid w:val="001C593D"/>
    <w:rsid w:val="001D09B8"/>
    <w:rsid w:val="001D3776"/>
    <w:rsid w:val="001E1DAF"/>
    <w:rsid w:val="001F1C02"/>
    <w:rsid w:val="002004D0"/>
    <w:rsid w:val="00202716"/>
    <w:rsid w:val="0020333D"/>
    <w:rsid w:val="00203943"/>
    <w:rsid w:val="0022044E"/>
    <w:rsid w:val="002301ED"/>
    <w:rsid w:val="0023421D"/>
    <w:rsid w:val="002409BF"/>
    <w:rsid w:val="00240FB7"/>
    <w:rsid w:val="00250306"/>
    <w:rsid w:val="00253054"/>
    <w:rsid w:val="002541EE"/>
    <w:rsid w:val="002611E0"/>
    <w:rsid w:val="00265151"/>
    <w:rsid w:val="00272522"/>
    <w:rsid w:val="00272EA5"/>
    <w:rsid w:val="00283119"/>
    <w:rsid w:val="00294232"/>
    <w:rsid w:val="002D5FA5"/>
    <w:rsid w:val="002E0D8B"/>
    <w:rsid w:val="002E50D8"/>
    <w:rsid w:val="002E640F"/>
    <w:rsid w:val="002F2F6E"/>
    <w:rsid w:val="0032580E"/>
    <w:rsid w:val="00325AB7"/>
    <w:rsid w:val="00331542"/>
    <w:rsid w:val="0033275B"/>
    <w:rsid w:val="00333838"/>
    <w:rsid w:val="003338FA"/>
    <w:rsid w:val="00334DDD"/>
    <w:rsid w:val="00337FCB"/>
    <w:rsid w:val="003436E2"/>
    <w:rsid w:val="00350514"/>
    <w:rsid w:val="00350E18"/>
    <w:rsid w:val="003514B6"/>
    <w:rsid w:val="00354377"/>
    <w:rsid w:val="003561CD"/>
    <w:rsid w:val="00356EAC"/>
    <w:rsid w:val="003600F6"/>
    <w:rsid w:val="003641DF"/>
    <w:rsid w:val="00364650"/>
    <w:rsid w:val="00371937"/>
    <w:rsid w:val="0037629B"/>
    <w:rsid w:val="003867F1"/>
    <w:rsid w:val="00391117"/>
    <w:rsid w:val="00393EEC"/>
    <w:rsid w:val="00397E21"/>
    <w:rsid w:val="003B63E3"/>
    <w:rsid w:val="003B7C2A"/>
    <w:rsid w:val="003C328A"/>
    <w:rsid w:val="003C442F"/>
    <w:rsid w:val="003C5974"/>
    <w:rsid w:val="003C7D63"/>
    <w:rsid w:val="003D1E6C"/>
    <w:rsid w:val="003D2F36"/>
    <w:rsid w:val="003D53A6"/>
    <w:rsid w:val="003D60DF"/>
    <w:rsid w:val="003E4867"/>
    <w:rsid w:val="003E5DAD"/>
    <w:rsid w:val="003E6808"/>
    <w:rsid w:val="00400FFA"/>
    <w:rsid w:val="0040123F"/>
    <w:rsid w:val="00405105"/>
    <w:rsid w:val="00410ACD"/>
    <w:rsid w:val="0041727E"/>
    <w:rsid w:val="00417ED3"/>
    <w:rsid w:val="004215CD"/>
    <w:rsid w:val="0042710D"/>
    <w:rsid w:val="0043553D"/>
    <w:rsid w:val="0044721E"/>
    <w:rsid w:val="00452BF7"/>
    <w:rsid w:val="004549DA"/>
    <w:rsid w:val="0046548E"/>
    <w:rsid w:val="00465804"/>
    <w:rsid w:val="00467185"/>
    <w:rsid w:val="0047376E"/>
    <w:rsid w:val="00481B44"/>
    <w:rsid w:val="00487CED"/>
    <w:rsid w:val="004913EA"/>
    <w:rsid w:val="00494757"/>
    <w:rsid w:val="004A10B2"/>
    <w:rsid w:val="004A63BD"/>
    <w:rsid w:val="004B4380"/>
    <w:rsid w:val="004B5139"/>
    <w:rsid w:val="004C141B"/>
    <w:rsid w:val="004D2A4F"/>
    <w:rsid w:val="004D3A54"/>
    <w:rsid w:val="004D6015"/>
    <w:rsid w:val="004D6640"/>
    <w:rsid w:val="004D72E7"/>
    <w:rsid w:val="004E36F9"/>
    <w:rsid w:val="004F296D"/>
    <w:rsid w:val="004F3230"/>
    <w:rsid w:val="004F6233"/>
    <w:rsid w:val="00500A6F"/>
    <w:rsid w:val="00500FDC"/>
    <w:rsid w:val="00507BDA"/>
    <w:rsid w:val="00510CB9"/>
    <w:rsid w:val="005262DB"/>
    <w:rsid w:val="0053628B"/>
    <w:rsid w:val="00537794"/>
    <w:rsid w:val="0055008A"/>
    <w:rsid w:val="00551765"/>
    <w:rsid w:val="0055330D"/>
    <w:rsid w:val="0055423F"/>
    <w:rsid w:val="00554834"/>
    <w:rsid w:val="00554FA1"/>
    <w:rsid w:val="0055587F"/>
    <w:rsid w:val="00570AC1"/>
    <w:rsid w:val="0057218C"/>
    <w:rsid w:val="00580AAC"/>
    <w:rsid w:val="00581783"/>
    <w:rsid w:val="00584D5E"/>
    <w:rsid w:val="00585A12"/>
    <w:rsid w:val="005906CF"/>
    <w:rsid w:val="00593158"/>
    <w:rsid w:val="00594736"/>
    <w:rsid w:val="005A2235"/>
    <w:rsid w:val="005A34A1"/>
    <w:rsid w:val="005A5526"/>
    <w:rsid w:val="005A574A"/>
    <w:rsid w:val="005A6C88"/>
    <w:rsid w:val="005B1973"/>
    <w:rsid w:val="005B72C9"/>
    <w:rsid w:val="005D68AB"/>
    <w:rsid w:val="005D7CDD"/>
    <w:rsid w:val="005E179D"/>
    <w:rsid w:val="005E295D"/>
    <w:rsid w:val="005F1A8B"/>
    <w:rsid w:val="00603238"/>
    <w:rsid w:val="006074F5"/>
    <w:rsid w:val="006142B8"/>
    <w:rsid w:val="00615F33"/>
    <w:rsid w:val="0063128C"/>
    <w:rsid w:val="00631F49"/>
    <w:rsid w:val="006335F9"/>
    <w:rsid w:val="00640144"/>
    <w:rsid w:val="0064591E"/>
    <w:rsid w:val="00653C41"/>
    <w:rsid w:val="00657A88"/>
    <w:rsid w:val="00657C5D"/>
    <w:rsid w:val="0066107A"/>
    <w:rsid w:val="006635F9"/>
    <w:rsid w:val="00663ECF"/>
    <w:rsid w:val="00670CAE"/>
    <w:rsid w:val="00675D7D"/>
    <w:rsid w:val="00682553"/>
    <w:rsid w:val="00683D01"/>
    <w:rsid w:val="00690622"/>
    <w:rsid w:val="00691A4E"/>
    <w:rsid w:val="006968C0"/>
    <w:rsid w:val="006A25F4"/>
    <w:rsid w:val="006A2D65"/>
    <w:rsid w:val="006A3858"/>
    <w:rsid w:val="006A4663"/>
    <w:rsid w:val="006A4CE6"/>
    <w:rsid w:val="006A7CBE"/>
    <w:rsid w:val="006B4C97"/>
    <w:rsid w:val="006B6B20"/>
    <w:rsid w:val="006C7E97"/>
    <w:rsid w:val="006D2FAF"/>
    <w:rsid w:val="006D3E7C"/>
    <w:rsid w:val="006F40F7"/>
    <w:rsid w:val="00703F46"/>
    <w:rsid w:val="00707169"/>
    <w:rsid w:val="00724694"/>
    <w:rsid w:val="007456D1"/>
    <w:rsid w:val="00750B30"/>
    <w:rsid w:val="0075168C"/>
    <w:rsid w:val="0075657B"/>
    <w:rsid w:val="00775290"/>
    <w:rsid w:val="007A3F10"/>
    <w:rsid w:val="007A708D"/>
    <w:rsid w:val="007A7A12"/>
    <w:rsid w:val="007B1674"/>
    <w:rsid w:val="007B2767"/>
    <w:rsid w:val="007B436B"/>
    <w:rsid w:val="007C5958"/>
    <w:rsid w:val="007C6310"/>
    <w:rsid w:val="007C64EE"/>
    <w:rsid w:val="007D22CC"/>
    <w:rsid w:val="007F2019"/>
    <w:rsid w:val="007F6BFA"/>
    <w:rsid w:val="008036CD"/>
    <w:rsid w:val="008040F7"/>
    <w:rsid w:val="00804EBB"/>
    <w:rsid w:val="00805369"/>
    <w:rsid w:val="00806BDC"/>
    <w:rsid w:val="00811C47"/>
    <w:rsid w:val="008202D8"/>
    <w:rsid w:val="008231FE"/>
    <w:rsid w:val="00831A6D"/>
    <w:rsid w:val="00836001"/>
    <w:rsid w:val="00846F6D"/>
    <w:rsid w:val="008521A7"/>
    <w:rsid w:val="00852C87"/>
    <w:rsid w:val="008551E9"/>
    <w:rsid w:val="00856D0D"/>
    <w:rsid w:val="00861C9C"/>
    <w:rsid w:val="00871F82"/>
    <w:rsid w:val="0088065B"/>
    <w:rsid w:val="008821C9"/>
    <w:rsid w:val="00891336"/>
    <w:rsid w:val="008916B6"/>
    <w:rsid w:val="008A116A"/>
    <w:rsid w:val="008A18BE"/>
    <w:rsid w:val="008A1A8B"/>
    <w:rsid w:val="008A7766"/>
    <w:rsid w:val="008C3948"/>
    <w:rsid w:val="008C3B25"/>
    <w:rsid w:val="008D2597"/>
    <w:rsid w:val="008D7B7C"/>
    <w:rsid w:val="008E2322"/>
    <w:rsid w:val="008F0840"/>
    <w:rsid w:val="008F2043"/>
    <w:rsid w:val="008F5F7C"/>
    <w:rsid w:val="009005F6"/>
    <w:rsid w:val="00900DA1"/>
    <w:rsid w:val="009070C0"/>
    <w:rsid w:val="00907990"/>
    <w:rsid w:val="00907AE4"/>
    <w:rsid w:val="00910BA8"/>
    <w:rsid w:val="00911FE1"/>
    <w:rsid w:val="00916143"/>
    <w:rsid w:val="009319C4"/>
    <w:rsid w:val="00932858"/>
    <w:rsid w:val="00941FBE"/>
    <w:rsid w:val="00943C7A"/>
    <w:rsid w:val="00954691"/>
    <w:rsid w:val="00954BAF"/>
    <w:rsid w:val="009572BB"/>
    <w:rsid w:val="00960B1C"/>
    <w:rsid w:val="00996BEE"/>
    <w:rsid w:val="00996FBB"/>
    <w:rsid w:val="00997F1A"/>
    <w:rsid w:val="009A5590"/>
    <w:rsid w:val="009A71D3"/>
    <w:rsid w:val="009B6070"/>
    <w:rsid w:val="009B73DA"/>
    <w:rsid w:val="009C1004"/>
    <w:rsid w:val="009C1DA5"/>
    <w:rsid w:val="009C2582"/>
    <w:rsid w:val="009C6ABB"/>
    <w:rsid w:val="009C6CD2"/>
    <w:rsid w:val="009D1AC1"/>
    <w:rsid w:val="009D6D92"/>
    <w:rsid w:val="009E005B"/>
    <w:rsid w:val="009E06F6"/>
    <w:rsid w:val="009E2682"/>
    <w:rsid w:val="009E3D31"/>
    <w:rsid w:val="009E566C"/>
    <w:rsid w:val="00A018C4"/>
    <w:rsid w:val="00A02B73"/>
    <w:rsid w:val="00A074FF"/>
    <w:rsid w:val="00A126D7"/>
    <w:rsid w:val="00A17C0D"/>
    <w:rsid w:val="00A20412"/>
    <w:rsid w:val="00A206EA"/>
    <w:rsid w:val="00A27A2B"/>
    <w:rsid w:val="00A34CC5"/>
    <w:rsid w:val="00A51E05"/>
    <w:rsid w:val="00A52B21"/>
    <w:rsid w:val="00A55AC6"/>
    <w:rsid w:val="00A569E4"/>
    <w:rsid w:val="00A80B67"/>
    <w:rsid w:val="00A871E5"/>
    <w:rsid w:val="00A908A6"/>
    <w:rsid w:val="00AA3422"/>
    <w:rsid w:val="00AB570C"/>
    <w:rsid w:val="00AC03F5"/>
    <w:rsid w:val="00AD65BB"/>
    <w:rsid w:val="00AE2884"/>
    <w:rsid w:val="00AE29FD"/>
    <w:rsid w:val="00AE7AA3"/>
    <w:rsid w:val="00AF075E"/>
    <w:rsid w:val="00B00FAF"/>
    <w:rsid w:val="00B01923"/>
    <w:rsid w:val="00B06B18"/>
    <w:rsid w:val="00B07680"/>
    <w:rsid w:val="00B11D01"/>
    <w:rsid w:val="00B13E91"/>
    <w:rsid w:val="00B163BA"/>
    <w:rsid w:val="00B24586"/>
    <w:rsid w:val="00B33E44"/>
    <w:rsid w:val="00B4579D"/>
    <w:rsid w:val="00B47713"/>
    <w:rsid w:val="00B572EF"/>
    <w:rsid w:val="00B610C5"/>
    <w:rsid w:val="00B70FC5"/>
    <w:rsid w:val="00B80B91"/>
    <w:rsid w:val="00B836E9"/>
    <w:rsid w:val="00B8515C"/>
    <w:rsid w:val="00B94936"/>
    <w:rsid w:val="00BA274A"/>
    <w:rsid w:val="00BB3075"/>
    <w:rsid w:val="00BB48AE"/>
    <w:rsid w:val="00BB4AE4"/>
    <w:rsid w:val="00BB5B71"/>
    <w:rsid w:val="00BC04A7"/>
    <w:rsid w:val="00BC10AE"/>
    <w:rsid w:val="00BE48C8"/>
    <w:rsid w:val="00BF08DE"/>
    <w:rsid w:val="00BF4007"/>
    <w:rsid w:val="00C07625"/>
    <w:rsid w:val="00C146DE"/>
    <w:rsid w:val="00C16A72"/>
    <w:rsid w:val="00C230F1"/>
    <w:rsid w:val="00C35556"/>
    <w:rsid w:val="00C4629F"/>
    <w:rsid w:val="00C64246"/>
    <w:rsid w:val="00C65A9F"/>
    <w:rsid w:val="00C67DD8"/>
    <w:rsid w:val="00C72A9E"/>
    <w:rsid w:val="00C75A10"/>
    <w:rsid w:val="00C8070A"/>
    <w:rsid w:val="00C81FEF"/>
    <w:rsid w:val="00C92233"/>
    <w:rsid w:val="00C93404"/>
    <w:rsid w:val="00C95766"/>
    <w:rsid w:val="00CA2A9C"/>
    <w:rsid w:val="00CA3ED2"/>
    <w:rsid w:val="00CA4721"/>
    <w:rsid w:val="00CC7DCE"/>
    <w:rsid w:val="00CD6230"/>
    <w:rsid w:val="00CD76CF"/>
    <w:rsid w:val="00CF0D82"/>
    <w:rsid w:val="00CF23A1"/>
    <w:rsid w:val="00CF6A60"/>
    <w:rsid w:val="00D0069A"/>
    <w:rsid w:val="00D01CBA"/>
    <w:rsid w:val="00D02A5B"/>
    <w:rsid w:val="00D04B5A"/>
    <w:rsid w:val="00D07AEA"/>
    <w:rsid w:val="00D132F7"/>
    <w:rsid w:val="00D16F5B"/>
    <w:rsid w:val="00D24FCC"/>
    <w:rsid w:val="00D253D2"/>
    <w:rsid w:val="00D256F6"/>
    <w:rsid w:val="00D26D64"/>
    <w:rsid w:val="00D307C2"/>
    <w:rsid w:val="00D3622C"/>
    <w:rsid w:val="00D43E67"/>
    <w:rsid w:val="00D445BD"/>
    <w:rsid w:val="00D525F9"/>
    <w:rsid w:val="00D55D51"/>
    <w:rsid w:val="00D61658"/>
    <w:rsid w:val="00D70E33"/>
    <w:rsid w:val="00D70FD7"/>
    <w:rsid w:val="00D76384"/>
    <w:rsid w:val="00D81643"/>
    <w:rsid w:val="00D86B38"/>
    <w:rsid w:val="00D8767B"/>
    <w:rsid w:val="00D909A2"/>
    <w:rsid w:val="00DA0B9B"/>
    <w:rsid w:val="00DA1C18"/>
    <w:rsid w:val="00DA3EBD"/>
    <w:rsid w:val="00DA7782"/>
    <w:rsid w:val="00DB3471"/>
    <w:rsid w:val="00DB37B2"/>
    <w:rsid w:val="00DB502A"/>
    <w:rsid w:val="00DB7534"/>
    <w:rsid w:val="00DF5AC7"/>
    <w:rsid w:val="00E009C1"/>
    <w:rsid w:val="00E03B10"/>
    <w:rsid w:val="00E15E91"/>
    <w:rsid w:val="00E15F26"/>
    <w:rsid w:val="00E15F87"/>
    <w:rsid w:val="00E17100"/>
    <w:rsid w:val="00E20983"/>
    <w:rsid w:val="00E2145E"/>
    <w:rsid w:val="00E23153"/>
    <w:rsid w:val="00E23FBD"/>
    <w:rsid w:val="00E31B00"/>
    <w:rsid w:val="00E33A87"/>
    <w:rsid w:val="00E34B8B"/>
    <w:rsid w:val="00E47E83"/>
    <w:rsid w:val="00E52A54"/>
    <w:rsid w:val="00E52DD7"/>
    <w:rsid w:val="00E5611B"/>
    <w:rsid w:val="00E57A4F"/>
    <w:rsid w:val="00E600BF"/>
    <w:rsid w:val="00E72DB3"/>
    <w:rsid w:val="00E72E80"/>
    <w:rsid w:val="00E755CE"/>
    <w:rsid w:val="00E76627"/>
    <w:rsid w:val="00E8258E"/>
    <w:rsid w:val="00EB3101"/>
    <w:rsid w:val="00EB52FD"/>
    <w:rsid w:val="00EC7514"/>
    <w:rsid w:val="00ED1832"/>
    <w:rsid w:val="00ED3786"/>
    <w:rsid w:val="00ED387F"/>
    <w:rsid w:val="00EE0A5C"/>
    <w:rsid w:val="00EF6140"/>
    <w:rsid w:val="00F030C7"/>
    <w:rsid w:val="00F031BB"/>
    <w:rsid w:val="00F06424"/>
    <w:rsid w:val="00F07AD5"/>
    <w:rsid w:val="00F11F49"/>
    <w:rsid w:val="00F13DEB"/>
    <w:rsid w:val="00F13F89"/>
    <w:rsid w:val="00F1650A"/>
    <w:rsid w:val="00F16861"/>
    <w:rsid w:val="00F17310"/>
    <w:rsid w:val="00F21D57"/>
    <w:rsid w:val="00F23055"/>
    <w:rsid w:val="00F25185"/>
    <w:rsid w:val="00F4061D"/>
    <w:rsid w:val="00F426CA"/>
    <w:rsid w:val="00F43323"/>
    <w:rsid w:val="00F43BC2"/>
    <w:rsid w:val="00F43EC0"/>
    <w:rsid w:val="00F45DBB"/>
    <w:rsid w:val="00F45F59"/>
    <w:rsid w:val="00F46371"/>
    <w:rsid w:val="00F46641"/>
    <w:rsid w:val="00F53192"/>
    <w:rsid w:val="00F545E3"/>
    <w:rsid w:val="00F573A7"/>
    <w:rsid w:val="00F61C13"/>
    <w:rsid w:val="00F663C1"/>
    <w:rsid w:val="00F720A3"/>
    <w:rsid w:val="00F7243A"/>
    <w:rsid w:val="00F755C7"/>
    <w:rsid w:val="00F7782A"/>
    <w:rsid w:val="00F8191A"/>
    <w:rsid w:val="00FA19DF"/>
    <w:rsid w:val="00FA3581"/>
    <w:rsid w:val="00FA60CA"/>
    <w:rsid w:val="00FB0BC1"/>
    <w:rsid w:val="00FB7FCC"/>
    <w:rsid w:val="00FC3BCF"/>
    <w:rsid w:val="00FC3F86"/>
    <w:rsid w:val="00FD4693"/>
    <w:rsid w:val="00FD5776"/>
    <w:rsid w:val="00FD7787"/>
    <w:rsid w:val="00FE6EFE"/>
    <w:rsid w:val="00FE7CB4"/>
    <w:rsid w:val="00FF7D56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FA40C"/>
  <w15:docId w15:val="{E871DADD-612B-48CB-93D5-818334B8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7E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7E21"/>
    <w:rPr>
      <w:u w:val="single"/>
    </w:rPr>
  </w:style>
  <w:style w:type="paragraph" w:styleId="Zhlav">
    <w:name w:val="header"/>
    <w:link w:val="ZhlavChar"/>
    <w:rsid w:val="00397E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customStyle="1" w:styleId="ZhlavChar">
    <w:name w:val="Záhlaví Char"/>
    <w:basedOn w:val="Standardnpsmoodstavce"/>
    <w:link w:val="Zhlav"/>
    <w:rsid w:val="00397E21"/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customStyle="1" w:styleId="dn">
    <w:name w:val="Žádný"/>
    <w:rsid w:val="00397E21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FAF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3E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3E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3E44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E44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D70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FD7"/>
    <w:rPr>
      <w:rFonts w:ascii="Calibri" w:eastAsia="Calibri" w:hAnsi="Calibri" w:cs="Calibri"/>
      <w:color w:val="000000"/>
      <w:u w:color="000000"/>
      <w:bdr w:val="nil"/>
      <w:lang w:val="en-US" w:eastAsia="cs-CZ"/>
    </w:rPr>
  </w:style>
  <w:style w:type="paragraph" w:styleId="Bezmezer">
    <w:name w:val="No Spacing"/>
    <w:uiPriority w:val="1"/>
    <w:qFormat/>
    <w:rsid w:val="00A02B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995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325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87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356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449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39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0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4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6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4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2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0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1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4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4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52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44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ecois.cz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ereza.kunova@bcas.cz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www.b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D9C5-8A8E-45BD-93A6-7501CAFA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Baštýřová</dc:creator>
  <cp:keywords/>
  <dc:description/>
  <cp:lastModifiedBy>Tereza Kunová</cp:lastModifiedBy>
  <cp:revision>55</cp:revision>
  <cp:lastPrinted>2018-12-20T11:40:00Z</cp:lastPrinted>
  <dcterms:created xsi:type="dcterms:W3CDTF">2020-08-31T15:54:00Z</dcterms:created>
  <dcterms:modified xsi:type="dcterms:W3CDTF">2021-10-25T08:00:00Z</dcterms:modified>
</cp:coreProperties>
</file>