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1A6802"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b/>
              <w:color w:val="1D1D1B"/>
              <w:sz w:val="24"/>
            </w:rPr>
            <w:t>INDEX HYPOTEČNÍCH ÚVĚRŮ</w:t>
          </w:r>
          <w:r w:rsidRPr="004B5797">
            <w:rPr>
              <w:rFonts w:ascii="Arial" w:hAnsi="Arial" w:cs="Arial"/>
              <w:color w:val="1D1D1B"/>
              <w:sz w:val="24"/>
            </w:rPr>
            <w:t xml:space="preserve">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03C4DE47" w14:textId="26FAE45C" w:rsidR="0009776B" w:rsidRPr="004B5797" w:rsidRDefault="00D80B6D" w:rsidP="005F65A1">
          <w:pPr>
            <w:spacing w:before="230"/>
            <w:ind w:left="165"/>
            <w:jc w:val="center"/>
            <w:rPr>
              <w:rFonts w:ascii="Arial" w:hAnsi="Arial" w:cs="Arial"/>
              <w:color w:val="1D1D1B"/>
              <w:sz w:val="24"/>
            </w:rPr>
          </w:pPr>
          <w:r w:rsidRPr="002A1185">
            <w:rPr>
              <w:rFonts w:ascii="Arial" w:hAnsi="Arial" w:cs="Arial"/>
              <w:color w:val="1D1D1B"/>
              <w:sz w:val="24"/>
            </w:rPr>
            <w:t>INDEX PODÍLOVÝCH FONDŮ</w:t>
          </w:r>
          <w:r w:rsidRPr="004B5797">
            <w:rPr>
              <w:rFonts w:ascii="Arial" w:hAnsi="Arial" w:cs="Arial"/>
              <w:color w:val="1D1D1B"/>
              <w:sz w:val="24"/>
            </w:rPr>
            <w:t xml:space="preserve"> </w:t>
          </w:r>
        </w:p>
        <w:p w14:paraId="32900BCE" w14:textId="5904F9FC"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P</w:t>
          </w:r>
          <w:r w:rsidR="005F65A1">
            <w:rPr>
              <w:rFonts w:ascii="Arial" w:hAnsi="Arial" w:cs="Arial"/>
              <w:color w:val="1D1D1B"/>
              <w:sz w:val="24"/>
            </w:rPr>
            <w:t>OV</w:t>
          </w:r>
          <w:r w:rsidRPr="004B5797">
            <w:rPr>
              <w:rFonts w:ascii="Arial" w:hAnsi="Arial" w:cs="Arial"/>
              <w:color w:val="1D1D1B"/>
              <w:sz w:val="24"/>
            </w:rPr>
            <w:t xml:space="preserve">INDEX </w:t>
          </w:r>
        </w:p>
        <w:p w14:paraId="5B21B8A6" w14:textId="77777777" w:rsidR="00D80B6D" w:rsidRPr="009F2CEE" w:rsidRDefault="00D80B6D" w:rsidP="00D80B6D">
          <w:pPr>
            <w:spacing w:before="230"/>
            <w:ind w:left="165"/>
            <w:jc w:val="center"/>
            <w:rPr>
              <w:rFonts w:ascii="Arial" w:hAnsi="Arial" w:cs="Arial"/>
              <w:color w:val="CD1719"/>
              <w:sz w:val="24"/>
            </w:rPr>
          </w:pPr>
          <w:r w:rsidRPr="009F2CEE">
            <w:rPr>
              <w:rFonts w:ascii="Arial" w:hAnsi="Arial" w:cs="Arial"/>
              <w:color w:val="1D1D1B"/>
              <w:sz w:val="24"/>
            </w:rPr>
            <w:t xml:space="preserve">INDEX SPOTŘEBITELSKÝCH ÚVĚRŮ </w:t>
          </w:r>
          <w:r w:rsidRPr="009F2CEE">
            <w:rPr>
              <w:rFonts w:ascii="Arial" w:hAnsi="Arial" w:cs="Arial"/>
              <w:color w:val="CD1719"/>
              <w:sz w:val="24"/>
            </w:rPr>
            <w:t xml:space="preserve"> </w:t>
          </w: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891EFE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007B232E" w:rsidRPr="00F6177F">
              <w:rPr>
                <w:rStyle w:val="Hypertextovodkaz"/>
                <w:rFonts w:ascii="Arial" w:hAnsi="Arial" w:cs="Arial"/>
                <w:sz w:val="18"/>
                <w:szCs w:val="18"/>
              </w:rPr>
              <w:t>bcas.cz</w:t>
            </w:r>
          </w:hyperlink>
          <w:r w:rsidRPr="007B232E">
            <w:rPr>
              <w:rStyle w:val="Hypertextovodkaz"/>
              <w:rFonts w:ascii="Arial" w:hAnsi="Arial" w:cs="Arial"/>
              <w:sz w:val="18"/>
              <w:szCs w:val="18"/>
              <w:u w:val="none"/>
            </w:rPr>
            <w:t xml:space="preserve">, </w:t>
          </w:r>
          <w:hyperlink r:id="rId10" w:history="1">
            <w:r w:rsidR="007B232E" w:rsidRPr="00F6177F">
              <w:rPr>
                <w:rStyle w:val="Hypertextovodkaz"/>
                <w:rFonts w:ascii="Arial" w:hAnsi="Arial" w:cs="Arial"/>
                <w:sz w:val="18"/>
                <w:szCs w:val="18"/>
              </w:rPr>
              <w:t>okpointy.cz</w:t>
            </w:r>
          </w:hyperlink>
          <w:r w:rsidR="007B232E" w:rsidRPr="007B232E">
            <w:rPr>
              <w:rStyle w:val="Hypertextovodkaz"/>
              <w:rFonts w:ascii="Arial" w:hAnsi="Arial" w:cs="Arial"/>
              <w:color w:val="FF0000"/>
              <w:sz w:val="18"/>
              <w:szCs w:val="18"/>
              <w:u w:val="none"/>
            </w:rPr>
            <w:t xml:space="preserve">, </w:t>
          </w:r>
          <w:hyperlink r:id="rId11" w:history="1">
            <w:r w:rsidR="007B232E" w:rsidRPr="007B232E">
              <w:rPr>
                <w:rStyle w:val="Hypertextovodkaz"/>
                <w:rFonts w:ascii="Arial" w:hAnsi="Arial" w:cs="Arial"/>
                <w:sz w:val="18"/>
                <w:szCs w:val="18"/>
              </w:rPr>
              <w:t>okpoint.tv</w:t>
            </w:r>
          </w:hyperlink>
          <w:r w:rsidRPr="00FC2522">
            <w:rPr>
              <w:rStyle w:val="dn"/>
              <w:rFonts w:ascii="Arial" w:hAnsi="Arial" w:cs="Arial"/>
              <w:sz w:val="18"/>
              <w:szCs w:val="18"/>
            </w:rPr>
            <w:t xml:space="preserve"> a na </w:t>
          </w:r>
          <w:hyperlink r:id="rId12" w:history="1">
            <w:r w:rsidRPr="007B232E">
              <w:rPr>
                <w:rStyle w:val="Hypertextovodkaz"/>
                <w:rFonts w:ascii="Arial" w:hAnsi="Arial" w:cs="Arial"/>
                <w:sz w:val="18"/>
                <w:szCs w:val="18"/>
              </w:rPr>
              <w:t>realityspolu.cz</w:t>
            </w:r>
          </w:hyperlink>
          <w:r w:rsidR="007B232E" w:rsidRPr="007B232E">
            <w:rPr>
              <w:rStyle w:val="Hypertextovodkaz"/>
              <w:rFonts w:ascii="Arial" w:hAnsi="Arial" w:cs="Arial"/>
              <w:color w:val="FF0000"/>
              <w:sz w:val="18"/>
              <w:szCs w:val="18"/>
              <w:u w:val="none"/>
            </w:rPr>
            <w:t xml:space="preserve">. </w:t>
          </w:r>
          <w:r w:rsidRPr="00FC2522">
            <w:rPr>
              <w:rStyle w:val="dn"/>
              <w:rFonts w:ascii="Arial" w:hAnsi="Arial" w:cs="Arial"/>
              <w:sz w:val="18"/>
              <w:szCs w:val="18"/>
            </w:rPr>
            <w:t xml:space="preserve">Navštivte také náš </w:t>
          </w:r>
          <w:hyperlink r:id="rId13"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4" w:history="1">
            <w:r w:rsidRPr="007B232E">
              <w:rPr>
                <w:rStyle w:val="Hypertextovodkaz"/>
                <w:rFonts w:ascii="Arial" w:hAnsi="Arial" w:cs="Arial"/>
                <w:color w:val="0066FF"/>
                <w:sz w:val="18"/>
                <w:szCs w:val="18"/>
              </w:rPr>
              <w:t>LinkedIN</w:t>
            </w:r>
          </w:hyperlink>
          <w:r w:rsidRPr="00FC2522">
            <w:rPr>
              <w:rStyle w:val="dn"/>
              <w:rFonts w:ascii="Arial" w:hAnsi="Arial" w:cs="Arial"/>
              <w:sz w:val="18"/>
              <w:szCs w:val="18"/>
            </w:rPr>
            <w:t xml:space="preserve"> Broker Consulting a </w:t>
          </w:r>
          <w:hyperlink r:id="rId15"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6" w:history="1">
            <w:r w:rsidRPr="007B232E">
              <w:rPr>
                <w:rStyle w:val="Hypertextovodkaz"/>
                <w:rFonts w:ascii="Arial" w:hAnsi="Arial" w:cs="Arial"/>
                <w:color w:val="0066FF"/>
                <w:sz w:val="18"/>
                <w:szCs w:val="18"/>
              </w:rPr>
              <w:t>LinkedI</w:t>
            </w:r>
          </w:hyperlink>
          <w:r w:rsidRPr="007B232E">
            <w:rPr>
              <w:rStyle w:val="Hypertextovodkaz"/>
              <w:rFonts w:ascii="Arial" w:hAnsi="Arial" w:cs="Arial"/>
              <w:color w:val="0066FF"/>
              <w:sz w:val="18"/>
              <w:szCs w:val="18"/>
            </w:rPr>
            <w:t>N</w:t>
          </w:r>
          <w:r w:rsidRPr="007B232E">
            <w:rPr>
              <w:rStyle w:val="dn"/>
              <w:rFonts w:ascii="Arial" w:hAnsi="Arial" w:cs="Arial"/>
              <w:color w:val="0066FF"/>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FC2522" w:rsidRDefault="00126BEC" w:rsidP="0025264B">
          <w:pPr>
            <w:rPr>
              <w:rFonts w:ascii="Arial" w:hAnsi="Arial" w:cs="Arial"/>
              <w:b/>
              <w:sz w:val="20"/>
              <w:szCs w:val="20"/>
              <w:highlight w:val="yellow"/>
            </w:rPr>
            <w:sectPr w:rsidR="00D31127" w:rsidRPr="00FC2522"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45655022" w14:textId="77777777" w:rsidR="0073009C" w:rsidRPr="00673DDB" w:rsidRDefault="0073009C" w:rsidP="001675AF">
      <w:pPr>
        <w:jc w:val="center"/>
        <w:rPr>
          <w:rFonts w:ascii="Arial" w:hAnsi="Arial" w:cs="Arial"/>
          <w:b/>
          <w:sz w:val="24"/>
          <w:szCs w:val="24"/>
        </w:rPr>
      </w:pPr>
    </w:p>
    <w:p w14:paraId="1809EC78" w14:textId="279106A7" w:rsidR="00CC0CB0" w:rsidRPr="00673DDB" w:rsidRDefault="00F05773" w:rsidP="00673DDB">
      <w:pPr>
        <w:jc w:val="center"/>
        <w:rPr>
          <w:rFonts w:ascii="Arial" w:hAnsi="Arial" w:cs="Arial"/>
          <w:b/>
          <w:sz w:val="28"/>
          <w:szCs w:val="28"/>
        </w:rPr>
      </w:pPr>
      <w:r>
        <w:rPr>
          <w:rFonts w:ascii="Arial" w:hAnsi="Arial" w:cs="Arial"/>
          <w:b/>
          <w:sz w:val="28"/>
          <w:szCs w:val="28"/>
        </w:rPr>
        <w:t>Hypotéky</w:t>
      </w:r>
      <w:r w:rsidR="00CA5872" w:rsidRPr="00673DDB">
        <w:rPr>
          <w:rFonts w:ascii="Arial" w:hAnsi="Arial" w:cs="Arial"/>
          <w:b/>
          <w:sz w:val="28"/>
          <w:szCs w:val="28"/>
        </w:rPr>
        <w:t xml:space="preserve"> </w:t>
      </w:r>
      <w:r w:rsidR="00673DDB" w:rsidRPr="00673DDB">
        <w:rPr>
          <w:rFonts w:ascii="Arial" w:hAnsi="Arial" w:cs="Arial"/>
          <w:b/>
          <w:sz w:val="28"/>
          <w:szCs w:val="28"/>
        </w:rPr>
        <w:t>dál p</w:t>
      </w:r>
      <w:r w:rsidR="00CA5872" w:rsidRPr="00673DDB">
        <w:rPr>
          <w:rFonts w:ascii="Arial" w:hAnsi="Arial" w:cs="Arial"/>
          <w:b/>
          <w:sz w:val="28"/>
          <w:szCs w:val="28"/>
        </w:rPr>
        <w:t>odražují, jejich průměrná úroková sazba roste ještě rychleji, než odborníci očekávali.</w:t>
      </w:r>
      <w:r w:rsidR="00673DDB" w:rsidRPr="00673DDB">
        <w:rPr>
          <w:rFonts w:ascii="Arial" w:hAnsi="Arial" w:cs="Arial"/>
          <w:b/>
          <w:sz w:val="28"/>
          <w:szCs w:val="28"/>
        </w:rPr>
        <w:t xml:space="preserve"> V</w:t>
      </w:r>
      <w:r w:rsidR="00926825">
        <w:rPr>
          <w:rFonts w:ascii="Arial" w:hAnsi="Arial" w:cs="Arial"/>
          <w:b/>
          <w:sz w:val="28"/>
          <w:szCs w:val="28"/>
        </w:rPr>
        <w:t xml:space="preserve"> září </w:t>
      </w:r>
      <w:r w:rsidR="00673DDB" w:rsidRPr="00673DDB">
        <w:rPr>
          <w:rFonts w:ascii="Arial" w:hAnsi="Arial" w:cs="Arial"/>
          <w:b/>
          <w:sz w:val="28"/>
          <w:szCs w:val="28"/>
        </w:rPr>
        <w:t>dosáhla 2,57 %</w:t>
      </w:r>
    </w:p>
    <w:p w14:paraId="4F09DEB1" w14:textId="77777777" w:rsidR="00D60444" w:rsidRDefault="00D60444" w:rsidP="00174317">
      <w:pPr>
        <w:jc w:val="both"/>
        <w:rPr>
          <w:rFonts w:ascii="Arial" w:hAnsi="Arial" w:cs="Arial"/>
          <w:i/>
          <w:sz w:val="20"/>
          <w:szCs w:val="20"/>
        </w:rPr>
      </w:pPr>
    </w:p>
    <w:p w14:paraId="7E543F5C" w14:textId="77777777" w:rsidR="00673DDB" w:rsidRDefault="00673DDB" w:rsidP="00174317">
      <w:pPr>
        <w:jc w:val="both"/>
        <w:rPr>
          <w:rFonts w:ascii="Arial" w:hAnsi="Arial" w:cs="Arial"/>
          <w:i/>
          <w:sz w:val="20"/>
          <w:szCs w:val="20"/>
        </w:rPr>
      </w:pPr>
    </w:p>
    <w:p w14:paraId="7409BD71" w14:textId="51A686D1" w:rsidR="003243A6" w:rsidRDefault="00E6319B" w:rsidP="003243A6">
      <w:pPr>
        <w:jc w:val="both"/>
        <w:rPr>
          <w:rFonts w:ascii="Arial" w:hAnsi="Arial" w:cs="Arial"/>
          <w:b/>
          <w:bCs/>
          <w:sz w:val="20"/>
          <w:szCs w:val="20"/>
        </w:rPr>
      </w:pPr>
      <w:r w:rsidRPr="00BB51F4">
        <w:rPr>
          <w:rFonts w:ascii="Arial" w:hAnsi="Arial" w:cs="Arial"/>
          <w:i/>
          <w:sz w:val="20"/>
          <w:szCs w:val="20"/>
        </w:rPr>
        <w:t xml:space="preserve">Praha, </w:t>
      </w:r>
      <w:r w:rsidR="00D60444">
        <w:rPr>
          <w:rFonts w:ascii="Arial" w:hAnsi="Arial" w:cs="Arial"/>
          <w:i/>
          <w:sz w:val="20"/>
          <w:szCs w:val="20"/>
        </w:rPr>
        <w:t>1</w:t>
      </w:r>
      <w:r w:rsidR="00A12821">
        <w:rPr>
          <w:rFonts w:ascii="Arial" w:hAnsi="Arial" w:cs="Arial"/>
          <w:i/>
          <w:sz w:val="20"/>
          <w:szCs w:val="20"/>
        </w:rPr>
        <w:t>4</w:t>
      </w:r>
      <w:bookmarkStart w:id="0" w:name="_GoBack"/>
      <w:bookmarkEnd w:id="0"/>
      <w:r w:rsidR="00D47B8A">
        <w:rPr>
          <w:rFonts w:ascii="Arial" w:hAnsi="Arial" w:cs="Arial"/>
          <w:i/>
          <w:sz w:val="20"/>
          <w:szCs w:val="20"/>
        </w:rPr>
        <w:t>. října</w:t>
      </w:r>
      <w:r w:rsidRPr="00BB51F4">
        <w:rPr>
          <w:rFonts w:ascii="Arial" w:hAnsi="Arial" w:cs="Arial"/>
          <w:i/>
          <w:sz w:val="20"/>
          <w:szCs w:val="20"/>
        </w:rPr>
        <w:t xml:space="preserve"> 2021</w:t>
      </w:r>
      <w:r w:rsidRPr="00BB51F4">
        <w:rPr>
          <w:rFonts w:ascii="Arial" w:hAnsi="Arial" w:cs="Arial"/>
          <w:sz w:val="20"/>
          <w:szCs w:val="20"/>
        </w:rPr>
        <w:t xml:space="preserve"> </w:t>
      </w:r>
      <w:r w:rsidR="000851AC" w:rsidRPr="00BB51F4">
        <w:rPr>
          <w:rFonts w:ascii="Arial" w:hAnsi="Arial" w:cs="Arial"/>
          <w:sz w:val="20"/>
          <w:szCs w:val="20"/>
        </w:rPr>
        <w:t>–</w:t>
      </w:r>
      <w:r w:rsidR="002D64A2" w:rsidRPr="00BB51F4">
        <w:rPr>
          <w:rFonts w:ascii="Arial" w:hAnsi="Arial" w:cs="Arial"/>
          <w:b/>
          <w:sz w:val="20"/>
          <w:szCs w:val="20"/>
        </w:rPr>
        <w:t xml:space="preserve"> </w:t>
      </w:r>
      <w:r w:rsidR="003243A6">
        <w:rPr>
          <w:rFonts w:ascii="Arial" w:hAnsi="Arial" w:cs="Arial"/>
          <w:b/>
          <w:bCs/>
          <w:sz w:val="20"/>
          <w:szCs w:val="20"/>
        </w:rPr>
        <w:t>Zářijové výsledky Broker Consulting Indexu hypotečních úvěrů potvrdily</w:t>
      </w:r>
      <w:r w:rsidR="003243A6">
        <w:rPr>
          <w:rFonts w:ascii="Arial" w:eastAsia="Times New Roman" w:hAnsi="Arial" w:cs="Arial"/>
          <w:sz w:val="20"/>
          <w:szCs w:val="20"/>
        </w:rPr>
        <w:t xml:space="preserve"> </w:t>
      </w:r>
      <w:r w:rsidR="003243A6">
        <w:rPr>
          <w:rFonts w:ascii="Arial" w:eastAsia="Times New Roman" w:hAnsi="Arial" w:cs="Arial"/>
          <w:b/>
          <w:bCs/>
          <w:sz w:val="20"/>
          <w:szCs w:val="20"/>
        </w:rPr>
        <w:t>jednoznačný trend růstu</w:t>
      </w:r>
      <w:r w:rsidR="003243A6">
        <w:rPr>
          <w:rFonts w:ascii="Arial" w:eastAsia="Times New Roman" w:hAnsi="Arial" w:cs="Arial"/>
          <w:sz w:val="20"/>
          <w:szCs w:val="20"/>
        </w:rPr>
        <w:t xml:space="preserve"> </w:t>
      </w:r>
      <w:r w:rsidR="003243A6">
        <w:rPr>
          <w:rFonts w:ascii="Arial" w:eastAsia="Times New Roman" w:hAnsi="Arial" w:cs="Arial"/>
          <w:b/>
          <w:bCs/>
          <w:sz w:val="20"/>
          <w:szCs w:val="20"/>
        </w:rPr>
        <w:t>průměrné úrokové sazby, která meziměsíčně v</w:t>
      </w:r>
      <w:r w:rsidR="003243A6">
        <w:rPr>
          <w:rFonts w:ascii="Arial" w:hAnsi="Arial" w:cs="Arial"/>
          <w:b/>
          <w:bCs/>
          <w:sz w:val="20"/>
          <w:szCs w:val="20"/>
        </w:rPr>
        <w:t xml:space="preserve">zrostla o 0,15 procentního bodu na 2,57 %. </w:t>
      </w:r>
      <w:r w:rsidR="003243A6">
        <w:rPr>
          <w:rFonts w:ascii="Arial" w:eastAsia="Times New Roman" w:hAnsi="Arial" w:cs="Arial"/>
          <w:b/>
          <w:bCs/>
          <w:sz w:val="20"/>
          <w:szCs w:val="20"/>
        </w:rPr>
        <w:t xml:space="preserve">Tempo růstu už předčilo i očekávání mnoha odborníků, podle kterých by sazby u pětileté fixace mohly na konci roku vyšplhat nikoli </w:t>
      </w:r>
      <w:proofErr w:type="gramStart"/>
      <w:r w:rsidR="003243A6">
        <w:rPr>
          <w:rFonts w:ascii="Arial" w:eastAsia="Times New Roman" w:hAnsi="Arial" w:cs="Arial"/>
          <w:b/>
          <w:bCs/>
          <w:sz w:val="20"/>
          <w:szCs w:val="20"/>
        </w:rPr>
        <w:t>ke</w:t>
      </w:r>
      <w:proofErr w:type="gramEnd"/>
      <w:r w:rsidR="003243A6">
        <w:rPr>
          <w:rFonts w:ascii="Arial" w:eastAsia="Times New Roman" w:hAnsi="Arial" w:cs="Arial"/>
          <w:b/>
          <w:bCs/>
          <w:sz w:val="20"/>
          <w:szCs w:val="20"/>
        </w:rPr>
        <w:t xml:space="preserve"> 3 %, ale 4 %.  </w:t>
      </w:r>
    </w:p>
    <w:p w14:paraId="34B586CC" w14:textId="77777777" w:rsidR="003243A6" w:rsidRDefault="003243A6" w:rsidP="003243A6">
      <w:pPr>
        <w:jc w:val="both"/>
        <w:rPr>
          <w:rFonts w:ascii="Arial" w:eastAsia="Times New Roman" w:hAnsi="Arial" w:cs="Arial"/>
          <w:sz w:val="20"/>
          <w:szCs w:val="20"/>
        </w:rPr>
      </w:pPr>
    </w:p>
    <w:p w14:paraId="33010592" w14:textId="77777777" w:rsidR="003243A6" w:rsidRDefault="003243A6" w:rsidP="003243A6">
      <w:pPr>
        <w:jc w:val="both"/>
        <w:rPr>
          <w:rFonts w:ascii="Arial" w:eastAsia="Times New Roman" w:hAnsi="Arial" w:cs="Arial"/>
          <w:sz w:val="20"/>
          <w:szCs w:val="20"/>
        </w:rPr>
      </w:pPr>
      <w:r>
        <w:rPr>
          <w:rFonts w:ascii="Arial" w:eastAsia="Times New Roman" w:hAnsi="Arial" w:cs="Arial"/>
          <w:i/>
          <w:iCs/>
          <w:sz w:val="20"/>
          <w:szCs w:val="20"/>
        </w:rPr>
        <w:t>„Úrokové sazby hypoték jdou nahoru ještě rychleji, než jsme odhadovali, a je tedy pravděpodobné, že u fixace na 5 let dosáhnou sazby hodnoty 3 % už na konci října. Poslední, nejsilnější obchodní kvartál, tak bude pro klienty a banky velmi složitý. Již v následujících dnech je třeba počítat se zvýšením sazeb u všech poskytovatelů hypoték o 0,4 - 0,7 procentního bodu. Je jasné, že hypoteční úvěry tak skokově podraží,“</w:t>
      </w:r>
      <w:r>
        <w:rPr>
          <w:rFonts w:ascii="Arial" w:eastAsia="Times New Roman" w:hAnsi="Arial" w:cs="Arial"/>
          <w:sz w:val="20"/>
          <w:szCs w:val="20"/>
        </w:rPr>
        <w:t xml:space="preserve"> upozorňuje </w:t>
      </w:r>
      <w:r>
        <w:rPr>
          <w:rFonts w:ascii="Arial" w:eastAsia="Times New Roman" w:hAnsi="Arial" w:cs="Arial"/>
          <w:b/>
          <w:bCs/>
          <w:sz w:val="20"/>
          <w:szCs w:val="20"/>
        </w:rPr>
        <w:t>Martin Novák, hlavní analytik Broker Consulting.</w:t>
      </w:r>
      <w:r>
        <w:rPr>
          <w:rFonts w:ascii="Arial" w:eastAsia="Times New Roman" w:hAnsi="Arial" w:cs="Arial"/>
          <w:sz w:val="20"/>
          <w:szCs w:val="20"/>
        </w:rPr>
        <w:t>  </w:t>
      </w:r>
    </w:p>
    <w:p w14:paraId="493F7420" w14:textId="77777777" w:rsidR="003243A6" w:rsidRDefault="003243A6" w:rsidP="003243A6">
      <w:pPr>
        <w:jc w:val="both"/>
        <w:rPr>
          <w:rFonts w:ascii="Arial" w:eastAsia="Times New Roman" w:hAnsi="Arial" w:cs="Arial"/>
          <w:sz w:val="20"/>
          <w:szCs w:val="20"/>
        </w:rPr>
      </w:pPr>
    </w:p>
    <w:p w14:paraId="2256D169" w14:textId="77777777" w:rsidR="003243A6" w:rsidRDefault="003243A6" w:rsidP="003243A6">
      <w:pPr>
        <w:jc w:val="both"/>
        <w:rPr>
          <w:rFonts w:ascii="Arial" w:eastAsia="Times New Roman" w:hAnsi="Arial" w:cs="Arial"/>
          <w:sz w:val="20"/>
          <w:szCs w:val="20"/>
        </w:rPr>
      </w:pPr>
      <w:r>
        <w:rPr>
          <w:rFonts w:ascii="Arial" w:eastAsia="Times New Roman" w:hAnsi="Arial" w:cs="Arial"/>
          <w:sz w:val="20"/>
          <w:szCs w:val="20"/>
        </w:rPr>
        <w:t xml:space="preserve">Jistotu ohledně pokračujícího zvyšování sazeb přineslo na sklonku září zasedání bankovní rady České národní banky, která skokově zvýšila základní úrokové sazby o 0,75 procentního bodu. ČNB zvyšuje sazby v reakci na rychlý nárůst inflace a není vyloučeno, že je bude zvyšovat i v dalších měsících. Otázkou je tedy o kolik. Inflační tlaky v české ekonomice jsou totiž velmi silné a nelze je označit za čistě "dovezené", jelikož do inflace stále více zasahují i domácí vlivy v podobě růstu mezd.  </w:t>
      </w:r>
    </w:p>
    <w:p w14:paraId="77AC5E31" w14:textId="77777777" w:rsidR="003243A6" w:rsidRDefault="003243A6" w:rsidP="003243A6">
      <w:pPr>
        <w:jc w:val="both"/>
        <w:rPr>
          <w:rFonts w:ascii="Arial" w:eastAsia="Times New Roman" w:hAnsi="Arial" w:cs="Arial"/>
          <w:sz w:val="20"/>
          <w:szCs w:val="20"/>
        </w:rPr>
      </w:pPr>
    </w:p>
    <w:p w14:paraId="2AA66EB8" w14:textId="77777777" w:rsidR="003243A6" w:rsidRDefault="003243A6" w:rsidP="003243A6">
      <w:pPr>
        <w:jc w:val="both"/>
        <w:rPr>
          <w:rFonts w:ascii="Arial" w:eastAsia="Times New Roman" w:hAnsi="Arial" w:cs="Arial"/>
          <w:sz w:val="20"/>
          <w:szCs w:val="20"/>
        </w:rPr>
      </w:pPr>
      <w:r>
        <w:rPr>
          <w:rFonts w:ascii="Arial" w:eastAsia="Times New Roman" w:hAnsi="Arial" w:cs="Arial"/>
          <w:sz w:val="20"/>
          <w:szCs w:val="20"/>
        </w:rPr>
        <w:t xml:space="preserve">Podle odborníků by se tak sazby u hypotéky s pětiletou fixací mohly do konce roku dostat </w:t>
      </w:r>
      <w:proofErr w:type="gramStart"/>
      <w:r>
        <w:rPr>
          <w:rFonts w:ascii="Arial" w:eastAsia="Times New Roman" w:hAnsi="Arial" w:cs="Arial"/>
          <w:sz w:val="20"/>
          <w:szCs w:val="20"/>
        </w:rPr>
        <w:t>ke</w:t>
      </w:r>
      <w:proofErr w:type="gramEnd"/>
      <w:r>
        <w:rPr>
          <w:rFonts w:ascii="Arial" w:eastAsia="Times New Roman" w:hAnsi="Arial" w:cs="Arial"/>
          <w:sz w:val="20"/>
          <w:szCs w:val="20"/>
        </w:rPr>
        <w:t xml:space="preserve"> 4 %. V takovém případě lze očekávat zbrzdění hypotečního trhu, či dokonce jeho úplné zastavení. Noví žadatelé o hypotéku se pak budou muset postupně adaptovat na nové podmínky a budou o to více zvažovat, zda si úvěr mohou dovolit. </w:t>
      </w:r>
    </w:p>
    <w:p w14:paraId="4DF2587E" w14:textId="77777777" w:rsidR="003243A6" w:rsidRDefault="003243A6" w:rsidP="003243A6">
      <w:pPr>
        <w:jc w:val="both"/>
        <w:rPr>
          <w:rFonts w:ascii="Arial" w:eastAsia="Times New Roman" w:hAnsi="Arial" w:cs="Arial"/>
          <w:sz w:val="20"/>
          <w:szCs w:val="20"/>
        </w:rPr>
      </w:pPr>
    </w:p>
    <w:p w14:paraId="6539B6D5" w14:textId="77777777" w:rsidR="003243A6" w:rsidRDefault="003243A6" w:rsidP="003243A6">
      <w:pPr>
        <w:jc w:val="both"/>
        <w:rPr>
          <w:rFonts w:ascii="Arial" w:eastAsia="Times New Roman" w:hAnsi="Arial" w:cs="Arial"/>
          <w:sz w:val="20"/>
          <w:szCs w:val="20"/>
        </w:rPr>
      </w:pPr>
      <w:r>
        <w:rPr>
          <w:rFonts w:ascii="Arial" w:eastAsia="Times New Roman" w:hAnsi="Arial" w:cs="Arial"/>
          <w:sz w:val="20"/>
          <w:szCs w:val="20"/>
        </w:rPr>
        <w:t xml:space="preserve">Sekundárním efektem nárůstu sazeb by pak mohlo být zklidnění situace na nemovitostním trhu. Pro prodávající by mohlo být obtížnější nalézt pro své nemovitosti vhodné kupce, což by mohlo vést k zastavení růstu cen a případně i k mírné korekci. </w:t>
      </w:r>
      <w:r>
        <w:rPr>
          <w:rFonts w:ascii="Arial" w:eastAsia="Times New Roman" w:hAnsi="Arial" w:cs="Arial"/>
          <w:i/>
          <w:iCs/>
          <w:sz w:val="20"/>
          <w:szCs w:val="20"/>
        </w:rPr>
        <w:t>„Dlouhodobým problémem nemovitostního trhu je ale pomalá výstavba, která se navíc může ještě zhoršit. Na vině je růst cen materiálů, kvůli němuž developeři nebudou schopni či ochotni postavit a následně prodat nemovitosti za nasmlouvané ceny. Taková situace ale paradoxně může ceny nemovitostí zafixovat, nebo dokonce způsobit jejich zvýšení právě kvůli zdražení vstupních surovin,“</w:t>
      </w:r>
      <w:r>
        <w:rPr>
          <w:rFonts w:ascii="Arial" w:eastAsia="Times New Roman" w:hAnsi="Arial" w:cs="Arial"/>
          <w:sz w:val="20"/>
          <w:szCs w:val="20"/>
        </w:rPr>
        <w:t xml:space="preserve"> vysvětluje Martin Novák.</w:t>
      </w:r>
    </w:p>
    <w:p w14:paraId="7227FA25" w14:textId="77777777" w:rsidR="003243A6" w:rsidRDefault="003243A6" w:rsidP="003243A6">
      <w:pPr>
        <w:jc w:val="both"/>
        <w:rPr>
          <w:rFonts w:ascii="Arial" w:eastAsia="Times New Roman" w:hAnsi="Arial" w:cs="Arial"/>
          <w:sz w:val="20"/>
          <w:szCs w:val="20"/>
        </w:rPr>
      </w:pPr>
    </w:p>
    <w:p w14:paraId="02B44572" w14:textId="77777777" w:rsidR="003243A6" w:rsidRDefault="003243A6" w:rsidP="003243A6">
      <w:pPr>
        <w:jc w:val="both"/>
        <w:rPr>
          <w:rFonts w:ascii="Arial" w:eastAsia="Times New Roman" w:hAnsi="Arial" w:cs="Arial"/>
          <w:sz w:val="20"/>
          <w:szCs w:val="20"/>
        </w:rPr>
      </w:pPr>
      <w:r>
        <w:rPr>
          <w:rFonts w:ascii="Arial" w:eastAsia="Times New Roman" w:hAnsi="Arial" w:cs="Arial"/>
          <w:sz w:val="20"/>
          <w:szCs w:val="20"/>
        </w:rPr>
        <w:t>Na koho aktuální růst úrokových sazeb nejvíce doléhá, jsou klienti, kteří nyní řeší, zda koupit, či stavět a vzít si úvěr. Ti musí počítat s vyšší úrokovou sazbou, a tím pádem i vyšší měsíční splátkou.</w:t>
      </w:r>
      <w:r>
        <w:rPr>
          <w:rFonts w:ascii="Arial" w:eastAsia="Times New Roman" w:hAnsi="Arial" w:cs="Arial"/>
          <w:i/>
          <w:iCs/>
          <w:sz w:val="20"/>
          <w:szCs w:val="20"/>
        </w:rPr>
        <w:t xml:space="preserve"> „Podobně na tom budou i klienti, kterým končí fixace v příštích týdnech a měsících. Musí se totiž psychicky, a pak finančně, připravit na to, že po 5 letech splácení úvěru budou dál pokračovat s vyššími splátkami,“ </w:t>
      </w:r>
      <w:r>
        <w:rPr>
          <w:rFonts w:ascii="Arial" w:eastAsia="Times New Roman" w:hAnsi="Arial" w:cs="Arial"/>
          <w:sz w:val="20"/>
          <w:szCs w:val="20"/>
        </w:rPr>
        <w:t xml:space="preserve">předpovídá </w:t>
      </w:r>
      <w:r>
        <w:rPr>
          <w:rFonts w:ascii="Arial" w:eastAsia="Times New Roman" w:hAnsi="Arial" w:cs="Arial"/>
          <w:b/>
          <w:bCs/>
          <w:sz w:val="20"/>
          <w:szCs w:val="20"/>
        </w:rPr>
        <w:t>Tomáš Mašek, majitel OK POINTU ve Znojmě</w:t>
      </w:r>
      <w:r>
        <w:rPr>
          <w:rFonts w:ascii="Arial" w:eastAsia="Times New Roman" w:hAnsi="Arial" w:cs="Arial"/>
          <w:sz w:val="20"/>
          <w:szCs w:val="20"/>
        </w:rPr>
        <w:t>. </w:t>
      </w:r>
    </w:p>
    <w:p w14:paraId="0EBAC2D9" w14:textId="3E6CEE96" w:rsidR="00B01F39" w:rsidRPr="009173DA" w:rsidRDefault="00B01F39" w:rsidP="003243A6">
      <w:pPr>
        <w:jc w:val="both"/>
        <w:rPr>
          <w:rFonts w:ascii="Arial" w:eastAsia="Times New Roman" w:hAnsi="Arial" w:cs="Arial"/>
          <w:sz w:val="20"/>
          <w:szCs w:val="20"/>
        </w:rPr>
      </w:pPr>
    </w:p>
    <w:p w14:paraId="7FE39CF9" w14:textId="7561133A" w:rsidR="00D47B8A" w:rsidRPr="009173DA" w:rsidRDefault="00D47B8A" w:rsidP="00D47B8A">
      <w:pPr>
        <w:rPr>
          <w:rFonts w:ascii="Arial" w:hAnsi="Arial" w:cs="Arial"/>
          <w:b/>
          <w:sz w:val="20"/>
          <w:szCs w:val="20"/>
          <w:highlight w:val="yellow"/>
        </w:rPr>
      </w:pPr>
    </w:p>
    <w:p w14:paraId="5A09EA73" w14:textId="40858425" w:rsidR="00D47B8A" w:rsidRPr="009173DA" w:rsidRDefault="000C2DA6" w:rsidP="00D47B8A">
      <w:pPr>
        <w:rPr>
          <w:rFonts w:ascii="Arial" w:hAnsi="Arial" w:cs="Arial"/>
          <w:b/>
          <w:sz w:val="20"/>
          <w:szCs w:val="20"/>
          <w:highlight w:val="yellow"/>
        </w:rPr>
      </w:pPr>
      <w:r>
        <w:rPr>
          <w:rFonts w:ascii="Arial" w:eastAsia="Times New Roman" w:hAnsi="Arial" w:cs="Arial"/>
          <w:noProof/>
          <w:sz w:val="20"/>
          <w:szCs w:val="20"/>
          <w:lang w:bidi="ar-SA"/>
        </w:rPr>
        <w:drawing>
          <wp:inline distT="0" distB="0" distL="0" distR="0" wp14:anchorId="5821A1A2" wp14:editId="6D9D2446">
            <wp:extent cx="6635115" cy="2394585"/>
            <wp:effectExtent l="0" t="0" r="0" b="5715"/>
            <wp:docPr id="1" name="Obrázek 1" descr="C:\Users\tkunova\AppData\Local\Microsoft\Windows\INetCache\Content.Word\GRAF BC Index hypotecnich uveru - zari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unova\AppData\Local\Microsoft\Windows\INetCache\Content.Word\GRAF BC Index hypotecnich uveru - zari 20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115" cy="2394585"/>
                    </a:xfrm>
                    <a:prstGeom prst="rect">
                      <a:avLst/>
                    </a:prstGeom>
                    <a:noFill/>
                    <a:ln>
                      <a:noFill/>
                    </a:ln>
                  </pic:spPr>
                </pic:pic>
              </a:graphicData>
            </a:graphic>
          </wp:inline>
        </w:drawing>
      </w:r>
    </w:p>
    <w:p w14:paraId="0F43D485" w14:textId="3502340B" w:rsidR="008957C5" w:rsidRDefault="008957C5" w:rsidP="00B01F39">
      <w:pPr>
        <w:rPr>
          <w:rFonts w:ascii="Arial" w:hAnsi="Arial" w:cs="Arial"/>
          <w:b/>
          <w:sz w:val="18"/>
          <w:szCs w:val="16"/>
        </w:rPr>
      </w:pPr>
    </w:p>
    <w:p w14:paraId="30936689" w14:textId="77777777" w:rsidR="00B01F39" w:rsidRDefault="00B01F39" w:rsidP="00B01F39">
      <w:pPr>
        <w:rPr>
          <w:rFonts w:ascii="Arial" w:hAnsi="Arial" w:cs="Arial"/>
          <w:b/>
          <w:sz w:val="18"/>
          <w:szCs w:val="16"/>
        </w:rPr>
      </w:pPr>
    </w:p>
    <w:p w14:paraId="4537B8D6" w14:textId="76D3D1F5" w:rsidR="00977B41" w:rsidRPr="00B01F39" w:rsidRDefault="00C947C0" w:rsidP="00B01F39">
      <w:pPr>
        <w:rPr>
          <w:rFonts w:ascii="Arial" w:hAnsi="Arial" w:cs="Arial"/>
          <w:sz w:val="18"/>
          <w:szCs w:val="16"/>
        </w:rPr>
      </w:pPr>
      <w:r>
        <w:rPr>
          <w:rFonts w:ascii="Arial" w:hAnsi="Arial" w:cs="Arial"/>
          <w:b/>
          <w:sz w:val="18"/>
          <w:szCs w:val="16"/>
        </w:rPr>
        <w:t>P</w:t>
      </w:r>
      <w:r w:rsidR="00B37F41" w:rsidRPr="00B244B9">
        <w:rPr>
          <w:rFonts w:ascii="Arial" w:hAnsi="Arial" w:cs="Arial"/>
          <w:b/>
          <w:sz w:val="18"/>
          <w:szCs w:val="16"/>
        </w:rPr>
        <w:t>oznámka pro média:</w:t>
      </w:r>
      <w:r w:rsidR="00B37F41" w:rsidRPr="00B244B9">
        <w:rPr>
          <w:rFonts w:ascii="Arial" w:hAnsi="Arial" w:cs="Arial"/>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Indexy</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je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možné</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volně</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spacing w:val="2"/>
          <w:w w:val="105"/>
          <w:sz w:val="18"/>
          <w:szCs w:val="16"/>
        </w:rPr>
        <w:t>publikovat</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pouze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s</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označením</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spacing w:val="-3"/>
          <w:w w:val="105"/>
          <w:sz w:val="18"/>
          <w:szCs w:val="16"/>
        </w:rPr>
        <w:t>(</w:t>
      </w:r>
      <w:r w:rsidR="00B37F41" w:rsidRPr="00B244B9">
        <w:rPr>
          <w:rFonts w:ascii="Arial" w:hAnsi="Arial" w:cs="Arial"/>
          <w:i/>
          <w:color w:val="1D1D1B"/>
          <w:spacing w:val="-3"/>
          <w:w w:val="105"/>
          <w:sz w:val="18"/>
          <w:szCs w:val="16"/>
        </w:rPr>
        <w:t>např.</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Broker</w:t>
      </w:r>
      <w:r w:rsidR="00B37F41" w:rsidRPr="00B244B9">
        <w:rPr>
          <w:rFonts w:ascii="Arial" w:hAnsi="Arial" w:cs="Arial"/>
          <w:i/>
          <w:color w:val="1D1D1B"/>
          <w:spacing w:val="-9"/>
          <w:w w:val="105"/>
          <w:sz w:val="18"/>
          <w:szCs w:val="16"/>
        </w:rPr>
        <w:t xml:space="preserve"> </w:t>
      </w:r>
      <w:r w:rsidR="00B37F41" w:rsidRPr="00B244B9">
        <w:rPr>
          <w:rFonts w:ascii="Arial" w:hAnsi="Arial" w:cs="Arial"/>
          <w:i/>
          <w:color w:val="1D1D1B"/>
          <w:w w:val="105"/>
          <w:sz w:val="18"/>
          <w:szCs w:val="16"/>
        </w:rPr>
        <w:t>Consulting</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index</w:t>
      </w:r>
      <w:r w:rsidR="00B37F41" w:rsidRPr="0013512D">
        <w:rPr>
          <w:rFonts w:ascii="Arial" w:hAnsi="Arial" w:cs="Arial"/>
          <w:i/>
          <w:color w:val="1D1D1B"/>
          <w:w w:val="105"/>
          <w:sz w:val="18"/>
          <w:szCs w:val="16"/>
        </w:rPr>
        <w:t xml:space="preserve"> </w:t>
      </w:r>
      <w:r w:rsidR="00B37F41" w:rsidRPr="00B244B9">
        <w:rPr>
          <w:rFonts w:ascii="Arial" w:hAnsi="Arial" w:cs="Arial"/>
          <w:i/>
          <w:color w:val="1D1D1B"/>
          <w:w w:val="105"/>
          <w:sz w:val="18"/>
          <w:szCs w:val="16"/>
        </w:rPr>
        <w:t>hypot</w:t>
      </w:r>
      <w:r w:rsidR="00830CE8">
        <w:rPr>
          <w:rFonts w:ascii="Arial" w:hAnsi="Arial" w:cs="Arial"/>
          <w:i/>
          <w:color w:val="1D1D1B"/>
          <w:w w:val="105"/>
          <w:sz w:val="18"/>
          <w:szCs w:val="16"/>
        </w:rPr>
        <w:t>e</w:t>
      </w:r>
      <w:r w:rsidR="00B37F41" w:rsidRPr="00B244B9">
        <w:rPr>
          <w:rFonts w:ascii="Arial" w:hAnsi="Arial" w:cs="Arial"/>
          <w:i/>
          <w:color w:val="1D1D1B"/>
          <w:w w:val="105"/>
          <w:sz w:val="18"/>
          <w:szCs w:val="16"/>
        </w:rPr>
        <w:t>ční</w:t>
      </w:r>
      <w:r w:rsidR="00B37F41">
        <w:rPr>
          <w:rFonts w:ascii="Arial" w:hAnsi="Arial" w:cs="Arial"/>
          <w:i/>
          <w:color w:val="1D1D1B"/>
          <w:w w:val="105"/>
          <w:sz w:val="18"/>
          <w:szCs w:val="16"/>
        </w:rPr>
        <w:t>ch úvěrů</w:t>
      </w:r>
      <w:r w:rsidR="00B37F41" w:rsidRPr="00B244B9">
        <w:rPr>
          <w:rFonts w:ascii="Arial" w:hAnsi="Arial" w:cs="Arial"/>
          <w:i/>
          <w:color w:val="1D1D1B"/>
          <w:w w:val="105"/>
          <w:sz w:val="18"/>
          <w:szCs w:val="16"/>
        </w:rPr>
        <w:t xml:space="preserve">). Více informací najdete též na webu </w:t>
      </w:r>
      <w:r w:rsidR="00B37F41" w:rsidRPr="0013512D">
        <w:rPr>
          <w:rStyle w:val="Hypertextovodkaz"/>
          <w:rFonts w:ascii="Arial" w:hAnsi="Arial" w:cs="Arial"/>
          <w:i/>
          <w:w w:val="105"/>
          <w:sz w:val="18"/>
          <w:szCs w:val="16"/>
        </w:rPr>
        <w:t>https://www.bcas.cz/onas/pro-media/</w:t>
      </w:r>
      <w:r w:rsidR="00B37F41" w:rsidRPr="00B244B9">
        <w:rPr>
          <w:rFonts w:ascii="Arial" w:hAnsi="Arial" w:cs="Arial"/>
          <w:i/>
          <w:color w:val="1D1D1B"/>
          <w:w w:val="105"/>
          <w:sz w:val="18"/>
          <w:szCs w:val="16"/>
        </w:rPr>
        <w:t xml:space="preserve">. </w:t>
      </w:r>
    </w:p>
    <w:p w14:paraId="2CF74334" w14:textId="2DD1AC64" w:rsidR="002019F3" w:rsidRDefault="002019F3" w:rsidP="0073009C">
      <w:pPr>
        <w:jc w:val="both"/>
        <w:rPr>
          <w:rFonts w:ascii="Arial" w:hAnsi="Arial" w:cs="Arial"/>
          <w:b/>
          <w:sz w:val="18"/>
          <w:szCs w:val="20"/>
        </w:rPr>
      </w:pPr>
    </w:p>
    <w:p w14:paraId="5FCF3C96" w14:textId="2C54328A" w:rsidR="00B01F39" w:rsidRDefault="00B01F39" w:rsidP="0073009C">
      <w:pPr>
        <w:jc w:val="both"/>
        <w:rPr>
          <w:rFonts w:ascii="Arial" w:hAnsi="Arial" w:cs="Arial"/>
          <w:b/>
          <w:sz w:val="18"/>
          <w:szCs w:val="20"/>
        </w:rPr>
      </w:pPr>
    </w:p>
    <w:p w14:paraId="3523AF20" w14:textId="372AA615" w:rsidR="00B01F39" w:rsidRDefault="00B01F39" w:rsidP="0073009C">
      <w:pPr>
        <w:jc w:val="both"/>
        <w:rPr>
          <w:rFonts w:ascii="Arial" w:hAnsi="Arial" w:cs="Arial"/>
          <w:b/>
          <w:sz w:val="18"/>
          <w:szCs w:val="20"/>
        </w:rPr>
      </w:pPr>
    </w:p>
    <w:p w14:paraId="7A3233B0" w14:textId="77777777" w:rsidR="00B01F39" w:rsidRDefault="00B01F39" w:rsidP="0073009C">
      <w:pPr>
        <w:jc w:val="both"/>
        <w:rPr>
          <w:rFonts w:ascii="Arial" w:hAnsi="Arial" w:cs="Arial"/>
          <w:b/>
          <w:sz w:val="18"/>
          <w:szCs w:val="20"/>
        </w:rPr>
      </w:pPr>
    </w:p>
    <w:p w14:paraId="7DF3747A" w14:textId="21E317EA" w:rsidR="00B37F41" w:rsidRPr="00C222E1"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830CE8">
        <w:rPr>
          <w:rFonts w:ascii="Arial" w:hAnsi="Arial" w:cs="Arial"/>
          <w:sz w:val="18"/>
          <w:szCs w:val="20"/>
        </w:rPr>
        <w:t>růměrnou úrokovou sazbu u hypote</w:t>
      </w:r>
      <w:r w:rsidRPr="00C222E1">
        <w:rPr>
          <w:rFonts w:ascii="Arial" w:hAnsi="Arial" w:cs="Arial"/>
          <w:sz w:val="18"/>
          <w:szCs w:val="20"/>
        </w:rPr>
        <w:t>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r w:rsidR="00830CE8">
        <w:rPr>
          <w:rFonts w:ascii="Arial" w:hAnsi="Arial" w:cs="Arial"/>
          <w:sz w:val="18"/>
          <w:szCs w:val="20"/>
        </w:rPr>
        <w:t xml:space="preserve"> </w:t>
      </w: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3047FCF7" w14:textId="30DEE248" w:rsidR="00833A44" w:rsidRDefault="00833A44" w:rsidP="00B27178">
      <w:pPr>
        <w:jc w:val="both"/>
      </w:pPr>
    </w:p>
    <w:p w14:paraId="3371DDD3" w14:textId="77777777" w:rsidR="00B37F41" w:rsidRPr="0025264B" w:rsidRDefault="00B37F41" w:rsidP="00B27178">
      <w:pPr>
        <w:jc w:val="both"/>
      </w:pPr>
    </w:p>
    <w:p w14:paraId="58F041AC" w14:textId="4EDC3CAC" w:rsidR="00692610" w:rsidRPr="00D60D98" w:rsidRDefault="00692610"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A9737" w14:textId="77777777" w:rsidR="00126BEC" w:rsidRDefault="00126BEC">
      <w:r>
        <w:separator/>
      </w:r>
    </w:p>
  </w:endnote>
  <w:endnote w:type="continuationSeparator" w:id="0">
    <w:p w14:paraId="5CE3407D" w14:textId="77777777" w:rsidR="00126BEC" w:rsidRDefault="0012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126BEC"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BA0BC1"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126BEC"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BA0BC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126BEC"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BA0BC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8EC38" w14:textId="77777777" w:rsidR="00126BEC" w:rsidRDefault="00126BEC">
      <w:r>
        <w:separator/>
      </w:r>
    </w:p>
  </w:footnote>
  <w:footnote w:type="continuationSeparator" w:id="0">
    <w:p w14:paraId="3655AB88" w14:textId="77777777" w:rsidR="00126BEC" w:rsidRDefault="00126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13C6914A" w:rsidR="00B65A3B" w:rsidRDefault="009F2CEE" w:rsidP="009F2CEE">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PODÍLOVÝCH FONDŮ</w:t>
    </w:r>
  </w:p>
  <w:p w14:paraId="43C085E5" w14:textId="77777777" w:rsidR="000F4B6C" w:rsidRPr="00B65A3B" w:rsidRDefault="000F4B6C" w:rsidP="009F2CEE">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00A33F2F"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477D"/>
    <w:rsid w:val="00045D86"/>
    <w:rsid w:val="0005423A"/>
    <w:rsid w:val="000611E3"/>
    <w:rsid w:val="000766E7"/>
    <w:rsid w:val="00081616"/>
    <w:rsid w:val="0008331F"/>
    <w:rsid w:val="000851AC"/>
    <w:rsid w:val="000853D4"/>
    <w:rsid w:val="00096425"/>
    <w:rsid w:val="0009776B"/>
    <w:rsid w:val="000B187C"/>
    <w:rsid w:val="000C2DA6"/>
    <w:rsid w:val="000D14E2"/>
    <w:rsid w:val="000D7158"/>
    <w:rsid w:val="000E01C2"/>
    <w:rsid w:val="000E19B2"/>
    <w:rsid w:val="000E3D86"/>
    <w:rsid w:val="000E6E14"/>
    <w:rsid w:val="000F4B6C"/>
    <w:rsid w:val="000F6249"/>
    <w:rsid w:val="001117DE"/>
    <w:rsid w:val="00111C28"/>
    <w:rsid w:val="001214E7"/>
    <w:rsid w:val="00126BEC"/>
    <w:rsid w:val="0013044E"/>
    <w:rsid w:val="00131A69"/>
    <w:rsid w:val="00136D8D"/>
    <w:rsid w:val="00137003"/>
    <w:rsid w:val="0013717C"/>
    <w:rsid w:val="00140987"/>
    <w:rsid w:val="001524FB"/>
    <w:rsid w:val="00156082"/>
    <w:rsid w:val="00160686"/>
    <w:rsid w:val="001675AF"/>
    <w:rsid w:val="00174317"/>
    <w:rsid w:val="001767A5"/>
    <w:rsid w:val="00192716"/>
    <w:rsid w:val="00194831"/>
    <w:rsid w:val="00194B5D"/>
    <w:rsid w:val="001A1A56"/>
    <w:rsid w:val="001A2D08"/>
    <w:rsid w:val="001A54DD"/>
    <w:rsid w:val="001B3B31"/>
    <w:rsid w:val="001B501B"/>
    <w:rsid w:val="001D015A"/>
    <w:rsid w:val="001D3DFC"/>
    <w:rsid w:val="001D5EFC"/>
    <w:rsid w:val="001E1597"/>
    <w:rsid w:val="001E4209"/>
    <w:rsid w:val="001F7194"/>
    <w:rsid w:val="001F71BA"/>
    <w:rsid w:val="002019F3"/>
    <w:rsid w:val="0020207A"/>
    <w:rsid w:val="002141AF"/>
    <w:rsid w:val="00220529"/>
    <w:rsid w:val="00223FFD"/>
    <w:rsid w:val="00224AF1"/>
    <w:rsid w:val="00224E6E"/>
    <w:rsid w:val="00225D70"/>
    <w:rsid w:val="00233BF3"/>
    <w:rsid w:val="002368F3"/>
    <w:rsid w:val="00241313"/>
    <w:rsid w:val="0024212A"/>
    <w:rsid w:val="0025080B"/>
    <w:rsid w:val="0025264B"/>
    <w:rsid w:val="00253C9E"/>
    <w:rsid w:val="0025428A"/>
    <w:rsid w:val="00257978"/>
    <w:rsid w:val="002619DC"/>
    <w:rsid w:val="00270DB3"/>
    <w:rsid w:val="00277D20"/>
    <w:rsid w:val="00280730"/>
    <w:rsid w:val="00281C61"/>
    <w:rsid w:val="00285767"/>
    <w:rsid w:val="002863CE"/>
    <w:rsid w:val="002A1185"/>
    <w:rsid w:val="002B2A94"/>
    <w:rsid w:val="002B6F4E"/>
    <w:rsid w:val="002C0E94"/>
    <w:rsid w:val="002D3534"/>
    <w:rsid w:val="002D49F7"/>
    <w:rsid w:val="002D64A2"/>
    <w:rsid w:val="002E0400"/>
    <w:rsid w:val="002F002B"/>
    <w:rsid w:val="002F485A"/>
    <w:rsid w:val="002F7EC2"/>
    <w:rsid w:val="003015E0"/>
    <w:rsid w:val="00303A6E"/>
    <w:rsid w:val="00307E95"/>
    <w:rsid w:val="00307FEB"/>
    <w:rsid w:val="003128F8"/>
    <w:rsid w:val="00322E5E"/>
    <w:rsid w:val="003243A6"/>
    <w:rsid w:val="003247B0"/>
    <w:rsid w:val="00330918"/>
    <w:rsid w:val="003337A9"/>
    <w:rsid w:val="00340E70"/>
    <w:rsid w:val="00342F85"/>
    <w:rsid w:val="00347557"/>
    <w:rsid w:val="00355366"/>
    <w:rsid w:val="003629B6"/>
    <w:rsid w:val="003640C8"/>
    <w:rsid w:val="003721AD"/>
    <w:rsid w:val="00380608"/>
    <w:rsid w:val="00383DC5"/>
    <w:rsid w:val="00385EED"/>
    <w:rsid w:val="00390B58"/>
    <w:rsid w:val="003A4D47"/>
    <w:rsid w:val="003A6435"/>
    <w:rsid w:val="003B0E4F"/>
    <w:rsid w:val="003B1966"/>
    <w:rsid w:val="003C0CBE"/>
    <w:rsid w:val="003C3421"/>
    <w:rsid w:val="003D1987"/>
    <w:rsid w:val="003D3AE8"/>
    <w:rsid w:val="003D69A7"/>
    <w:rsid w:val="003F79EC"/>
    <w:rsid w:val="0042193A"/>
    <w:rsid w:val="00434C5D"/>
    <w:rsid w:val="00435115"/>
    <w:rsid w:val="00445D0A"/>
    <w:rsid w:val="004540ED"/>
    <w:rsid w:val="00454843"/>
    <w:rsid w:val="004627B9"/>
    <w:rsid w:val="00473219"/>
    <w:rsid w:val="00477FFA"/>
    <w:rsid w:val="00481D66"/>
    <w:rsid w:val="00487B6B"/>
    <w:rsid w:val="004B5104"/>
    <w:rsid w:val="004B5797"/>
    <w:rsid w:val="004B64B3"/>
    <w:rsid w:val="004C0CEF"/>
    <w:rsid w:val="004C3F71"/>
    <w:rsid w:val="004D4D9F"/>
    <w:rsid w:val="004F1934"/>
    <w:rsid w:val="0050659B"/>
    <w:rsid w:val="005153F7"/>
    <w:rsid w:val="0052216B"/>
    <w:rsid w:val="005224C1"/>
    <w:rsid w:val="005275F9"/>
    <w:rsid w:val="0053153F"/>
    <w:rsid w:val="00536954"/>
    <w:rsid w:val="00540606"/>
    <w:rsid w:val="00541870"/>
    <w:rsid w:val="005436EC"/>
    <w:rsid w:val="00544A37"/>
    <w:rsid w:val="005455B0"/>
    <w:rsid w:val="0055263D"/>
    <w:rsid w:val="00554574"/>
    <w:rsid w:val="0056150F"/>
    <w:rsid w:val="005729F4"/>
    <w:rsid w:val="005773B2"/>
    <w:rsid w:val="00577D19"/>
    <w:rsid w:val="0058062A"/>
    <w:rsid w:val="005834AE"/>
    <w:rsid w:val="005875EC"/>
    <w:rsid w:val="00590434"/>
    <w:rsid w:val="005A37E5"/>
    <w:rsid w:val="005A4497"/>
    <w:rsid w:val="005A5BBA"/>
    <w:rsid w:val="005A5F08"/>
    <w:rsid w:val="005B0E8E"/>
    <w:rsid w:val="005B31D7"/>
    <w:rsid w:val="005B5427"/>
    <w:rsid w:val="005D6963"/>
    <w:rsid w:val="005F65A1"/>
    <w:rsid w:val="00600788"/>
    <w:rsid w:val="00612DC2"/>
    <w:rsid w:val="006135FD"/>
    <w:rsid w:val="006212F9"/>
    <w:rsid w:val="0062747C"/>
    <w:rsid w:val="0064020E"/>
    <w:rsid w:val="0064160C"/>
    <w:rsid w:val="00656312"/>
    <w:rsid w:val="0066135D"/>
    <w:rsid w:val="00663C36"/>
    <w:rsid w:val="00667012"/>
    <w:rsid w:val="00673DDB"/>
    <w:rsid w:val="006768F0"/>
    <w:rsid w:val="00677078"/>
    <w:rsid w:val="00677C07"/>
    <w:rsid w:val="0068617E"/>
    <w:rsid w:val="00692610"/>
    <w:rsid w:val="006939E4"/>
    <w:rsid w:val="00693A07"/>
    <w:rsid w:val="00697A40"/>
    <w:rsid w:val="006A0BD0"/>
    <w:rsid w:val="006A150C"/>
    <w:rsid w:val="006A2F6C"/>
    <w:rsid w:val="006A3BE2"/>
    <w:rsid w:val="006B3CB5"/>
    <w:rsid w:val="006C61E8"/>
    <w:rsid w:val="006D1884"/>
    <w:rsid w:val="006D65EC"/>
    <w:rsid w:val="006E26DC"/>
    <w:rsid w:val="006E52B8"/>
    <w:rsid w:val="006F32FB"/>
    <w:rsid w:val="00705D83"/>
    <w:rsid w:val="0072112F"/>
    <w:rsid w:val="007253C3"/>
    <w:rsid w:val="00730047"/>
    <w:rsid w:val="0073009C"/>
    <w:rsid w:val="007316BB"/>
    <w:rsid w:val="00731E05"/>
    <w:rsid w:val="00736FB9"/>
    <w:rsid w:val="00771B91"/>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085C"/>
    <w:rsid w:val="007D2280"/>
    <w:rsid w:val="007D3EF7"/>
    <w:rsid w:val="007E5614"/>
    <w:rsid w:val="007F0754"/>
    <w:rsid w:val="007F515C"/>
    <w:rsid w:val="008104E0"/>
    <w:rsid w:val="0081387C"/>
    <w:rsid w:val="0083053E"/>
    <w:rsid w:val="00830CE8"/>
    <w:rsid w:val="00831B5E"/>
    <w:rsid w:val="0083338E"/>
    <w:rsid w:val="00833A44"/>
    <w:rsid w:val="00844420"/>
    <w:rsid w:val="00845A34"/>
    <w:rsid w:val="008769D5"/>
    <w:rsid w:val="00883A3E"/>
    <w:rsid w:val="00885B2F"/>
    <w:rsid w:val="008868A5"/>
    <w:rsid w:val="008926E5"/>
    <w:rsid w:val="008926F3"/>
    <w:rsid w:val="008957C5"/>
    <w:rsid w:val="008A04D3"/>
    <w:rsid w:val="008A0C76"/>
    <w:rsid w:val="008B05F2"/>
    <w:rsid w:val="008C1795"/>
    <w:rsid w:val="008C4B0D"/>
    <w:rsid w:val="008D1E94"/>
    <w:rsid w:val="008E19F3"/>
    <w:rsid w:val="008F4980"/>
    <w:rsid w:val="008F6AAF"/>
    <w:rsid w:val="00903020"/>
    <w:rsid w:val="00906176"/>
    <w:rsid w:val="00906E67"/>
    <w:rsid w:val="00915ADA"/>
    <w:rsid w:val="009222C9"/>
    <w:rsid w:val="00926825"/>
    <w:rsid w:val="00932625"/>
    <w:rsid w:val="009344C2"/>
    <w:rsid w:val="0093538A"/>
    <w:rsid w:val="0094705C"/>
    <w:rsid w:val="00957B41"/>
    <w:rsid w:val="009644A2"/>
    <w:rsid w:val="00967162"/>
    <w:rsid w:val="00974A97"/>
    <w:rsid w:val="00977B41"/>
    <w:rsid w:val="00982987"/>
    <w:rsid w:val="009A69B1"/>
    <w:rsid w:val="009B52C2"/>
    <w:rsid w:val="009C0ECA"/>
    <w:rsid w:val="009C45BA"/>
    <w:rsid w:val="009D7AFB"/>
    <w:rsid w:val="009E2833"/>
    <w:rsid w:val="009E317D"/>
    <w:rsid w:val="009E3B52"/>
    <w:rsid w:val="009E3D89"/>
    <w:rsid w:val="009F2CB2"/>
    <w:rsid w:val="009F2CEE"/>
    <w:rsid w:val="009F59EE"/>
    <w:rsid w:val="00A069E2"/>
    <w:rsid w:val="00A11C90"/>
    <w:rsid w:val="00A12821"/>
    <w:rsid w:val="00A25B10"/>
    <w:rsid w:val="00A36D79"/>
    <w:rsid w:val="00A4618A"/>
    <w:rsid w:val="00A5429B"/>
    <w:rsid w:val="00A62CCA"/>
    <w:rsid w:val="00A719A5"/>
    <w:rsid w:val="00A7372B"/>
    <w:rsid w:val="00A7509B"/>
    <w:rsid w:val="00A7796E"/>
    <w:rsid w:val="00A77F44"/>
    <w:rsid w:val="00A93638"/>
    <w:rsid w:val="00AA218A"/>
    <w:rsid w:val="00AB3D30"/>
    <w:rsid w:val="00AB4794"/>
    <w:rsid w:val="00AC614D"/>
    <w:rsid w:val="00AC7F1C"/>
    <w:rsid w:val="00AE44CB"/>
    <w:rsid w:val="00B01F39"/>
    <w:rsid w:val="00B11974"/>
    <w:rsid w:val="00B12CF8"/>
    <w:rsid w:val="00B15519"/>
    <w:rsid w:val="00B15922"/>
    <w:rsid w:val="00B244B9"/>
    <w:rsid w:val="00B27178"/>
    <w:rsid w:val="00B30A9E"/>
    <w:rsid w:val="00B3265A"/>
    <w:rsid w:val="00B36901"/>
    <w:rsid w:val="00B37F41"/>
    <w:rsid w:val="00B43ABC"/>
    <w:rsid w:val="00B470FB"/>
    <w:rsid w:val="00B51125"/>
    <w:rsid w:val="00B52CDF"/>
    <w:rsid w:val="00B65A3B"/>
    <w:rsid w:val="00B72652"/>
    <w:rsid w:val="00B815A3"/>
    <w:rsid w:val="00B94777"/>
    <w:rsid w:val="00B95BB2"/>
    <w:rsid w:val="00B95EBA"/>
    <w:rsid w:val="00BA0BC1"/>
    <w:rsid w:val="00BA1D82"/>
    <w:rsid w:val="00BA1FA3"/>
    <w:rsid w:val="00BA23D8"/>
    <w:rsid w:val="00BB4D49"/>
    <w:rsid w:val="00BB51F4"/>
    <w:rsid w:val="00BB58F0"/>
    <w:rsid w:val="00BB6439"/>
    <w:rsid w:val="00BB675F"/>
    <w:rsid w:val="00BD17B0"/>
    <w:rsid w:val="00BD3715"/>
    <w:rsid w:val="00BD5A47"/>
    <w:rsid w:val="00BD6E76"/>
    <w:rsid w:val="00BF4092"/>
    <w:rsid w:val="00BF44F1"/>
    <w:rsid w:val="00C05CCC"/>
    <w:rsid w:val="00C07F35"/>
    <w:rsid w:val="00C23E32"/>
    <w:rsid w:val="00C31E67"/>
    <w:rsid w:val="00C33A4A"/>
    <w:rsid w:val="00C42FAF"/>
    <w:rsid w:val="00C52DA0"/>
    <w:rsid w:val="00C864DC"/>
    <w:rsid w:val="00C908E5"/>
    <w:rsid w:val="00C9156E"/>
    <w:rsid w:val="00C947C0"/>
    <w:rsid w:val="00CA1722"/>
    <w:rsid w:val="00CA5872"/>
    <w:rsid w:val="00CA7CAF"/>
    <w:rsid w:val="00CB06F8"/>
    <w:rsid w:val="00CB18B1"/>
    <w:rsid w:val="00CB38CA"/>
    <w:rsid w:val="00CB6F2B"/>
    <w:rsid w:val="00CB7254"/>
    <w:rsid w:val="00CC0CB0"/>
    <w:rsid w:val="00CC1067"/>
    <w:rsid w:val="00CD3324"/>
    <w:rsid w:val="00CD46EA"/>
    <w:rsid w:val="00CE6C6E"/>
    <w:rsid w:val="00CE76FD"/>
    <w:rsid w:val="00D01832"/>
    <w:rsid w:val="00D07AA2"/>
    <w:rsid w:val="00D21C96"/>
    <w:rsid w:val="00D30854"/>
    <w:rsid w:val="00D31127"/>
    <w:rsid w:val="00D3359F"/>
    <w:rsid w:val="00D47B55"/>
    <w:rsid w:val="00D47B8A"/>
    <w:rsid w:val="00D50703"/>
    <w:rsid w:val="00D53E59"/>
    <w:rsid w:val="00D60444"/>
    <w:rsid w:val="00D605B1"/>
    <w:rsid w:val="00D60D98"/>
    <w:rsid w:val="00D71EA0"/>
    <w:rsid w:val="00D721F1"/>
    <w:rsid w:val="00D73F33"/>
    <w:rsid w:val="00D80B6D"/>
    <w:rsid w:val="00D80F78"/>
    <w:rsid w:val="00D84488"/>
    <w:rsid w:val="00D844C8"/>
    <w:rsid w:val="00D8513A"/>
    <w:rsid w:val="00D85BBB"/>
    <w:rsid w:val="00D85FB4"/>
    <w:rsid w:val="00D906BE"/>
    <w:rsid w:val="00D943AD"/>
    <w:rsid w:val="00D9690A"/>
    <w:rsid w:val="00DA7B87"/>
    <w:rsid w:val="00DB0343"/>
    <w:rsid w:val="00DB63D9"/>
    <w:rsid w:val="00DB7121"/>
    <w:rsid w:val="00DB7E77"/>
    <w:rsid w:val="00DC0BD6"/>
    <w:rsid w:val="00DC0F17"/>
    <w:rsid w:val="00DC30D0"/>
    <w:rsid w:val="00DD7940"/>
    <w:rsid w:val="00DE59C6"/>
    <w:rsid w:val="00DF4305"/>
    <w:rsid w:val="00E00DC6"/>
    <w:rsid w:val="00E058A3"/>
    <w:rsid w:val="00E130CB"/>
    <w:rsid w:val="00E151F3"/>
    <w:rsid w:val="00E17539"/>
    <w:rsid w:val="00E244E6"/>
    <w:rsid w:val="00E27028"/>
    <w:rsid w:val="00E32C50"/>
    <w:rsid w:val="00E4323F"/>
    <w:rsid w:val="00E5280E"/>
    <w:rsid w:val="00E52CEE"/>
    <w:rsid w:val="00E563FC"/>
    <w:rsid w:val="00E57F9B"/>
    <w:rsid w:val="00E60634"/>
    <w:rsid w:val="00E6319B"/>
    <w:rsid w:val="00E6726D"/>
    <w:rsid w:val="00E81433"/>
    <w:rsid w:val="00E81C95"/>
    <w:rsid w:val="00E845C0"/>
    <w:rsid w:val="00E852A3"/>
    <w:rsid w:val="00E93103"/>
    <w:rsid w:val="00EA0C1C"/>
    <w:rsid w:val="00EA477A"/>
    <w:rsid w:val="00EA5D92"/>
    <w:rsid w:val="00EB5354"/>
    <w:rsid w:val="00EC3779"/>
    <w:rsid w:val="00EC7F0E"/>
    <w:rsid w:val="00ED2D1F"/>
    <w:rsid w:val="00ED58E9"/>
    <w:rsid w:val="00ED79D6"/>
    <w:rsid w:val="00EE1831"/>
    <w:rsid w:val="00EE3DAD"/>
    <w:rsid w:val="00EF2F7C"/>
    <w:rsid w:val="00F00A40"/>
    <w:rsid w:val="00F05773"/>
    <w:rsid w:val="00F0773E"/>
    <w:rsid w:val="00F14982"/>
    <w:rsid w:val="00F2598D"/>
    <w:rsid w:val="00F32739"/>
    <w:rsid w:val="00F336A2"/>
    <w:rsid w:val="00F44AEB"/>
    <w:rsid w:val="00F45620"/>
    <w:rsid w:val="00F5304D"/>
    <w:rsid w:val="00F532E2"/>
    <w:rsid w:val="00F5470D"/>
    <w:rsid w:val="00F628BC"/>
    <w:rsid w:val="00F7277F"/>
    <w:rsid w:val="00F72E32"/>
    <w:rsid w:val="00F829B7"/>
    <w:rsid w:val="00F84A4F"/>
    <w:rsid w:val="00F9173C"/>
    <w:rsid w:val="00F975AD"/>
    <w:rsid w:val="00FB18D0"/>
    <w:rsid w:val="00FB2241"/>
    <w:rsid w:val="00FB2315"/>
    <w:rsid w:val="00FB2ED6"/>
    <w:rsid w:val="00FB6B8F"/>
    <w:rsid w:val="00FC2522"/>
    <w:rsid w:val="00FC5B56"/>
    <w:rsid w:val="00FD4B12"/>
    <w:rsid w:val="00FD5009"/>
    <w:rsid w:val="00FD6A70"/>
    <w:rsid w:val="00FE1EC8"/>
    <w:rsid w:val="00FE4FBF"/>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7FF70-7252-4349-A5EE-84187F9D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3</Pages>
  <Words>849</Words>
  <Characters>5010</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47</cp:revision>
  <dcterms:created xsi:type="dcterms:W3CDTF">2021-05-12T12:49:00Z</dcterms:created>
  <dcterms:modified xsi:type="dcterms:W3CDTF">2021-10-14T08:04:00Z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