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2A1185">
            <w:rPr>
              <w:rFonts w:ascii="Arial" w:hAnsi="Arial" w:cs="Arial"/>
              <w:b/>
              <w:color w:val="1D1D1B"/>
              <w:sz w:val="24"/>
            </w:rPr>
            <w:t>INDEX HYPOTEČNÍCH ÚVĚRŮ</w:t>
          </w:r>
          <w:r w:rsidRPr="004B5797">
            <w:rPr>
              <w:rFonts w:ascii="Arial" w:hAnsi="Arial" w:cs="Arial"/>
              <w:color w:val="1D1D1B"/>
              <w:sz w:val="24"/>
            </w:rPr>
            <w:t xml:space="preserve">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03C4DE47" w14:textId="26FAE45C" w:rsidR="0009776B" w:rsidRPr="004B5797" w:rsidRDefault="00D80B6D" w:rsidP="005F65A1">
          <w:pPr>
            <w:spacing w:before="230"/>
            <w:ind w:left="165"/>
            <w:jc w:val="center"/>
            <w:rPr>
              <w:rFonts w:ascii="Arial" w:hAnsi="Arial" w:cs="Arial"/>
              <w:color w:val="1D1D1B"/>
              <w:sz w:val="24"/>
            </w:rPr>
          </w:pPr>
          <w:r w:rsidRPr="002A1185">
            <w:rPr>
              <w:rFonts w:ascii="Arial" w:hAnsi="Arial" w:cs="Arial"/>
              <w:color w:val="1D1D1B"/>
              <w:sz w:val="24"/>
            </w:rPr>
            <w:t>INDEX PODÍLOVÝCH FONDŮ</w:t>
          </w:r>
          <w:r w:rsidRPr="004B5797">
            <w:rPr>
              <w:rFonts w:ascii="Arial" w:hAnsi="Arial" w:cs="Arial"/>
              <w:color w:val="1D1D1B"/>
              <w:sz w:val="24"/>
            </w:rPr>
            <w:t xml:space="preserve"> </w:t>
          </w:r>
        </w:p>
        <w:p w14:paraId="32900BCE" w14:textId="5904F9FC" w:rsidR="00D80B6D"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P</w:t>
          </w:r>
          <w:r w:rsidR="005F65A1">
            <w:rPr>
              <w:rFonts w:ascii="Arial" w:hAnsi="Arial" w:cs="Arial"/>
              <w:color w:val="1D1D1B"/>
              <w:sz w:val="24"/>
            </w:rPr>
            <w:t>OV</w:t>
          </w:r>
          <w:r w:rsidRPr="004B5797">
            <w:rPr>
              <w:rFonts w:ascii="Arial" w:hAnsi="Arial" w:cs="Arial"/>
              <w:color w:val="1D1D1B"/>
              <w:sz w:val="24"/>
            </w:rPr>
            <w:t xml:space="preserve">INDEX </w:t>
          </w:r>
        </w:p>
        <w:p w14:paraId="5B21B8A6" w14:textId="77777777" w:rsidR="00D80B6D" w:rsidRPr="009F2CEE" w:rsidRDefault="00D80B6D" w:rsidP="00D80B6D">
          <w:pPr>
            <w:spacing w:before="230"/>
            <w:ind w:left="165"/>
            <w:jc w:val="center"/>
            <w:rPr>
              <w:rFonts w:ascii="Arial" w:hAnsi="Arial" w:cs="Arial"/>
              <w:color w:val="CD1719"/>
              <w:sz w:val="24"/>
            </w:rPr>
          </w:pPr>
          <w:r w:rsidRPr="009F2CEE">
            <w:rPr>
              <w:rFonts w:ascii="Arial" w:hAnsi="Arial" w:cs="Arial"/>
              <w:color w:val="1D1D1B"/>
              <w:sz w:val="24"/>
            </w:rPr>
            <w:t xml:space="preserve">INDEX SPOTŘEBITELSKÝCH ÚVĚRŮ </w:t>
          </w:r>
          <w:r w:rsidRPr="009F2CEE">
            <w:rPr>
              <w:rFonts w:ascii="Arial" w:hAnsi="Arial" w:cs="Arial"/>
              <w:color w:val="CD1719"/>
              <w:sz w:val="24"/>
            </w:rPr>
            <w:t xml:space="preserve"> </w:t>
          </w: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891EFEA"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007B232E" w:rsidRPr="00F6177F">
              <w:rPr>
                <w:rStyle w:val="Hypertextovodkaz"/>
                <w:rFonts w:ascii="Arial" w:hAnsi="Arial" w:cs="Arial"/>
                <w:sz w:val="18"/>
                <w:szCs w:val="18"/>
              </w:rPr>
              <w:t>bcas.cz</w:t>
            </w:r>
          </w:hyperlink>
          <w:r w:rsidRPr="007B232E">
            <w:rPr>
              <w:rStyle w:val="Hypertextovodkaz"/>
              <w:rFonts w:ascii="Arial" w:hAnsi="Arial" w:cs="Arial"/>
              <w:sz w:val="18"/>
              <w:szCs w:val="18"/>
              <w:u w:val="none"/>
            </w:rPr>
            <w:t xml:space="preserve">, </w:t>
          </w:r>
          <w:hyperlink r:id="rId10" w:history="1">
            <w:r w:rsidR="007B232E" w:rsidRPr="00F6177F">
              <w:rPr>
                <w:rStyle w:val="Hypertextovodkaz"/>
                <w:rFonts w:ascii="Arial" w:hAnsi="Arial" w:cs="Arial"/>
                <w:sz w:val="18"/>
                <w:szCs w:val="18"/>
              </w:rPr>
              <w:t>okpointy.cz</w:t>
            </w:r>
          </w:hyperlink>
          <w:r w:rsidR="007B232E" w:rsidRPr="007B232E">
            <w:rPr>
              <w:rStyle w:val="Hypertextovodkaz"/>
              <w:rFonts w:ascii="Arial" w:hAnsi="Arial" w:cs="Arial"/>
              <w:color w:val="FF0000"/>
              <w:sz w:val="18"/>
              <w:szCs w:val="18"/>
              <w:u w:val="none"/>
            </w:rPr>
            <w:t xml:space="preserve">, </w:t>
          </w:r>
          <w:hyperlink r:id="rId11" w:history="1">
            <w:r w:rsidR="007B232E" w:rsidRPr="007B232E">
              <w:rPr>
                <w:rStyle w:val="Hypertextovodkaz"/>
                <w:rFonts w:ascii="Arial" w:hAnsi="Arial" w:cs="Arial"/>
                <w:sz w:val="18"/>
                <w:szCs w:val="18"/>
              </w:rPr>
              <w:t>okpoint.tv</w:t>
            </w:r>
          </w:hyperlink>
          <w:r w:rsidRPr="00FC2522">
            <w:rPr>
              <w:rStyle w:val="dn"/>
              <w:rFonts w:ascii="Arial" w:hAnsi="Arial" w:cs="Arial"/>
              <w:sz w:val="18"/>
              <w:szCs w:val="18"/>
            </w:rPr>
            <w:t xml:space="preserve"> a na </w:t>
          </w:r>
          <w:hyperlink r:id="rId12" w:history="1">
            <w:r w:rsidRPr="007B232E">
              <w:rPr>
                <w:rStyle w:val="Hypertextovodkaz"/>
                <w:rFonts w:ascii="Arial" w:hAnsi="Arial" w:cs="Arial"/>
                <w:sz w:val="18"/>
                <w:szCs w:val="18"/>
              </w:rPr>
              <w:t>realityspolu.cz</w:t>
            </w:r>
          </w:hyperlink>
          <w:r w:rsidR="007B232E" w:rsidRPr="007B232E">
            <w:rPr>
              <w:rStyle w:val="Hypertextovodkaz"/>
              <w:rFonts w:ascii="Arial" w:hAnsi="Arial" w:cs="Arial"/>
              <w:color w:val="FF0000"/>
              <w:sz w:val="18"/>
              <w:szCs w:val="18"/>
              <w:u w:val="none"/>
            </w:rPr>
            <w:t xml:space="preserve">. </w:t>
          </w:r>
          <w:r w:rsidRPr="00FC2522">
            <w:rPr>
              <w:rStyle w:val="dn"/>
              <w:rFonts w:ascii="Arial" w:hAnsi="Arial" w:cs="Arial"/>
              <w:sz w:val="18"/>
              <w:szCs w:val="18"/>
            </w:rPr>
            <w:t xml:space="preserve">Navštivte také náš </w:t>
          </w:r>
          <w:hyperlink r:id="rId13"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4" w:history="1">
            <w:r w:rsidRPr="007B232E">
              <w:rPr>
                <w:rStyle w:val="Hypertextovodkaz"/>
                <w:rFonts w:ascii="Arial" w:hAnsi="Arial" w:cs="Arial"/>
                <w:color w:val="0066FF"/>
                <w:sz w:val="18"/>
                <w:szCs w:val="18"/>
              </w:rPr>
              <w:t>LinkedIN</w:t>
            </w:r>
          </w:hyperlink>
          <w:r w:rsidRPr="00FC2522">
            <w:rPr>
              <w:rStyle w:val="dn"/>
              <w:rFonts w:ascii="Arial" w:hAnsi="Arial" w:cs="Arial"/>
              <w:sz w:val="18"/>
              <w:szCs w:val="18"/>
            </w:rPr>
            <w:t xml:space="preserve"> Broker Consulting a </w:t>
          </w:r>
          <w:hyperlink r:id="rId15" w:history="1">
            <w:r w:rsidRPr="007B232E">
              <w:rPr>
                <w:rStyle w:val="Hypertextovodkaz"/>
                <w:rFonts w:ascii="Arial" w:hAnsi="Arial" w:cs="Arial"/>
                <w:color w:val="0066FF"/>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6" w:history="1">
            <w:r w:rsidRPr="007B232E">
              <w:rPr>
                <w:rStyle w:val="Hypertextovodkaz"/>
                <w:rFonts w:ascii="Arial" w:hAnsi="Arial" w:cs="Arial"/>
                <w:color w:val="0066FF"/>
                <w:sz w:val="18"/>
                <w:szCs w:val="18"/>
              </w:rPr>
              <w:t>LinkedI</w:t>
            </w:r>
          </w:hyperlink>
          <w:r w:rsidRPr="007B232E">
            <w:rPr>
              <w:rStyle w:val="Hypertextovodkaz"/>
              <w:rFonts w:ascii="Arial" w:hAnsi="Arial" w:cs="Arial"/>
              <w:color w:val="0066FF"/>
              <w:sz w:val="18"/>
              <w:szCs w:val="18"/>
            </w:rPr>
            <w:t>N</w:t>
          </w:r>
          <w:r w:rsidRPr="007B232E">
            <w:rPr>
              <w:rStyle w:val="dn"/>
              <w:rFonts w:ascii="Arial" w:hAnsi="Arial" w:cs="Arial"/>
              <w:color w:val="0066FF"/>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FC2522" w:rsidRDefault="00F0773E" w:rsidP="0025264B">
          <w:pPr>
            <w:rPr>
              <w:rFonts w:ascii="Arial" w:hAnsi="Arial" w:cs="Arial"/>
              <w:b/>
              <w:sz w:val="20"/>
              <w:szCs w:val="20"/>
              <w:highlight w:val="yellow"/>
            </w:rPr>
            <w:sectPr w:rsidR="00D31127" w:rsidRPr="00FC2522"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45655022" w14:textId="77777777" w:rsidR="0073009C" w:rsidRDefault="0073009C" w:rsidP="001675AF">
      <w:pPr>
        <w:jc w:val="center"/>
        <w:rPr>
          <w:rFonts w:ascii="Arial" w:hAnsi="Arial" w:cs="Arial"/>
          <w:b/>
          <w:sz w:val="24"/>
          <w:szCs w:val="24"/>
        </w:rPr>
      </w:pPr>
    </w:p>
    <w:p w14:paraId="303CCAEC" w14:textId="77777777" w:rsidR="00CC0CB0" w:rsidRDefault="00CC0CB0" w:rsidP="001675AF">
      <w:pPr>
        <w:jc w:val="center"/>
        <w:rPr>
          <w:rFonts w:ascii="Arial" w:hAnsi="Arial" w:cs="Arial"/>
          <w:b/>
          <w:sz w:val="24"/>
          <w:szCs w:val="24"/>
        </w:rPr>
      </w:pPr>
    </w:p>
    <w:p w14:paraId="7467897D" w14:textId="396BA405" w:rsidR="00C23E32" w:rsidRPr="00BB51F4" w:rsidRDefault="00174317" w:rsidP="00174317">
      <w:pPr>
        <w:jc w:val="center"/>
        <w:rPr>
          <w:rFonts w:ascii="Arial" w:hAnsi="Arial" w:cs="Arial"/>
          <w:b/>
          <w:sz w:val="20"/>
          <w:szCs w:val="20"/>
        </w:rPr>
      </w:pPr>
      <w:r>
        <w:rPr>
          <w:rFonts w:ascii="Arial" w:hAnsi="Arial" w:cs="Arial"/>
          <w:b/>
          <w:sz w:val="28"/>
          <w:szCs w:val="28"/>
        </w:rPr>
        <w:t>P</w:t>
      </w:r>
      <w:r w:rsidR="000E19B2">
        <w:rPr>
          <w:rFonts w:ascii="Arial" w:hAnsi="Arial" w:cs="Arial"/>
          <w:b/>
          <w:sz w:val="28"/>
          <w:szCs w:val="28"/>
        </w:rPr>
        <w:t>růměrná ú</w:t>
      </w:r>
      <w:r w:rsidR="00FB6B8F">
        <w:rPr>
          <w:rFonts w:ascii="Arial" w:hAnsi="Arial" w:cs="Arial"/>
          <w:b/>
          <w:sz w:val="28"/>
          <w:szCs w:val="28"/>
        </w:rPr>
        <w:t xml:space="preserve">roková sazba </w:t>
      </w:r>
      <w:r w:rsidR="00FB2241">
        <w:rPr>
          <w:rFonts w:ascii="Arial" w:hAnsi="Arial" w:cs="Arial"/>
          <w:b/>
          <w:sz w:val="28"/>
          <w:szCs w:val="28"/>
        </w:rPr>
        <w:t>hypotéky dál roste, v srpnu se vyšplhala na 2,42 %</w:t>
      </w:r>
      <w:r w:rsidR="00FB6B8F">
        <w:rPr>
          <w:rFonts w:ascii="Arial" w:hAnsi="Arial" w:cs="Arial"/>
          <w:b/>
          <w:sz w:val="28"/>
          <w:szCs w:val="28"/>
        </w:rPr>
        <w:t>. Úvěry jsou</w:t>
      </w:r>
      <w:r>
        <w:rPr>
          <w:rFonts w:ascii="Arial" w:hAnsi="Arial" w:cs="Arial"/>
          <w:b/>
          <w:sz w:val="28"/>
          <w:szCs w:val="28"/>
        </w:rPr>
        <w:t xml:space="preserve"> nyní o téměř 85 % </w:t>
      </w:r>
      <w:r w:rsidR="00F7277F">
        <w:rPr>
          <w:rFonts w:ascii="Arial" w:hAnsi="Arial" w:cs="Arial"/>
          <w:b/>
          <w:sz w:val="28"/>
          <w:szCs w:val="28"/>
        </w:rPr>
        <w:t>vyšší</w:t>
      </w:r>
      <w:bookmarkStart w:id="0" w:name="_GoBack"/>
      <w:bookmarkEnd w:id="0"/>
      <w:r>
        <w:rPr>
          <w:rFonts w:ascii="Arial" w:hAnsi="Arial" w:cs="Arial"/>
          <w:b/>
          <w:sz w:val="28"/>
          <w:szCs w:val="28"/>
        </w:rPr>
        <w:t xml:space="preserve"> než před deseti lety</w:t>
      </w:r>
    </w:p>
    <w:p w14:paraId="1809EC78" w14:textId="77777777" w:rsidR="00CC0CB0" w:rsidRPr="00BB51F4" w:rsidRDefault="00CC0CB0" w:rsidP="00CA7CAF">
      <w:pPr>
        <w:jc w:val="both"/>
        <w:rPr>
          <w:rFonts w:ascii="Arial" w:hAnsi="Arial" w:cs="Arial"/>
          <w:i/>
          <w:sz w:val="20"/>
          <w:szCs w:val="20"/>
        </w:rPr>
      </w:pPr>
    </w:p>
    <w:p w14:paraId="4F09DEB1" w14:textId="77777777" w:rsidR="00D60444" w:rsidRDefault="00D60444" w:rsidP="00174317">
      <w:pPr>
        <w:jc w:val="both"/>
        <w:rPr>
          <w:rFonts w:ascii="Arial" w:hAnsi="Arial" w:cs="Arial"/>
          <w:i/>
          <w:sz w:val="20"/>
          <w:szCs w:val="20"/>
        </w:rPr>
      </w:pPr>
    </w:p>
    <w:p w14:paraId="57A383E3" w14:textId="52ACED5F" w:rsidR="00174317" w:rsidRDefault="00E6319B" w:rsidP="00174317">
      <w:pPr>
        <w:jc w:val="both"/>
        <w:rPr>
          <w:rFonts w:ascii="Arial" w:hAnsi="Arial" w:cs="Arial"/>
          <w:sz w:val="20"/>
          <w:szCs w:val="20"/>
        </w:rPr>
      </w:pPr>
      <w:r w:rsidRPr="00BB51F4">
        <w:rPr>
          <w:rFonts w:ascii="Arial" w:hAnsi="Arial" w:cs="Arial"/>
          <w:i/>
          <w:sz w:val="20"/>
          <w:szCs w:val="20"/>
        </w:rPr>
        <w:t xml:space="preserve">Praha, </w:t>
      </w:r>
      <w:r w:rsidR="00D60444">
        <w:rPr>
          <w:rFonts w:ascii="Arial" w:hAnsi="Arial" w:cs="Arial"/>
          <w:i/>
          <w:sz w:val="20"/>
          <w:szCs w:val="20"/>
        </w:rPr>
        <w:t>1</w:t>
      </w:r>
      <w:r w:rsidR="00194B5D">
        <w:rPr>
          <w:rFonts w:ascii="Arial" w:hAnsi="Arial" w:cs="Arial"/>
          <w:i/>
          <w:sz w:val="20"/>
          <w:szCs w:val="20"/>
        </w:rPr>
        <w:t>5</w:t>
      </w:r>
      <w:r w:rsidR="003A4D47" w:rsidRPr="00BB51F4">
        <w:rPr>
          <w:rFonts w:ascii="Arial" w:hAnsi="Arial" w:cs="Arial"/>
          <w:i/>
          <w:sz w:val="20"/>
          <w:szCs w:val="20"/>
        </w:rPr>
        <w:t>.</w:t>
      </w:r>
      <w:r w:rsidRPr="00BB51F4">
        <w:rPr>
          <w:rFonts w:ascii="Arial" w:hAnsi="Arial" w:cs="Arial"/>
          <w:i/>
          <w:sz w:val="20"/>
          <w:szCs w:val="20"/>
        </w:rPr>
        <w:t xml:space="preserve"> </w:t>
      </w:r>
      <w:r w:rsidR="00D60444">
        <w:rPr>
          <w:rFonts w:ascii="Arial" w:hAnsi="Arial" w:cs="Arial"/>
          <w:i/>
          <w:sz w:val="20"/>
          <w:szCs w:val="20"/>
        </w:rPr>
        <w:t>září</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174317" w:rsidRPr="00477FFA">
        <w:rPr>
          <w:rFonts w:ascii="Arial" w:hAnsi="Arial" w:cs="Arial"/>
          <w:b/>
          <w:sz w:val="20"/>
          <w:szCs w:val="20"/>
        </w:rPr>
        <w:t>Sazby hypotečních úvěrů jdou v posledních měsících stále nahoru. Podle</w:t>
      </w:r>
      <w:r w:rsidR="000E19B2">
        <w:rPr>
          <w:rFonts w:ascii="Arial" w:hAnsi="Arial" w:cs="Arial"/>
          <w:b/>
          <w:sz w:val="20"/>
          <w:szCs w:val="20"/>
        </w:rPr>
        <w:t xml:space="preserve"> výsled</w:t>
      </w:r>
      <w:r w:rsidR="00174317">
        <w:rPr>
          <w:rFonts w:ascii="Arial" w:hAnsi="Arial" w:cs="Arial"/>
          <w:b/>
          <w:sz w:val="20"/>
          <w:szCs w:val="20"/>
        </w:rPr>
        <w:t>ků</w:t>
      </w:r>
      <w:r w:rsidR="000E19B2">
        <w:rPr>
          <w:rFonts w:ascii="Arial" w:hAnsi="Arial" w:cs="Arial"/>
          <w:b/>
          <w:sz w:val="20"/>
          <w:szCs w:val="20"/>
        </w:rPr>
        <w:t xml:space="preserve"> Broker Consu</w:t>
      </w:r>
      <w:r w:rsidR="00174317">
        <w:rPr>
          <w:rFonts w:ascii="Arial" w:hAnsi="Arial" w:cs="Arial"/>
          <w:b/>
          <w:sz w:val="20"/>
          <w:szCs w:val="20"/>
        </w:rPr>
        <w:t xml:space="preserve">lting Indexu hypotečních úvěrů vzrostly </w:t>
      </w:r>
      <w:r w:rsidR="00477FFA">
        <w:rPr>
          <w:rFonts w:ascii="Arial" w:hAnsi="Arial" w:cs="Arial"/>
          <w:b/>
          <w:sz w:val="20"/>
          <w:szCs w:val="20"/>
        </w:rPr>
        <w:t xml:space="preserve">v srpnu </w:t>
      </w:r>
      <w:r w:rsidR="00174317">
        <w:rPr>
          <w:rFonts w:ascii="Arial" w:hAnsi="Arial" w:cs="Arial"/>
          <w:b/>
          <w:sz w:val="20"/>
          <w:szCs w:val="20"/>
        </w:rPr>
        <w:t xml:space="preserve">na úroveň 2,42 %. Odborníci očekávají, že na sklonku letošního roku by průměrné sazby mohly atakovat 3% hranici. </w:t>
      </w:r>
      <w:r w:rsidR="00477FFA">
        <w:rPr>
          <w:rFonts w:ascii="Arial" w:hAnsi="Arial" w:cs="Arial"/>
          <w:b/>
          <w:sz w:val="20"/>
          <w:szCs w:val="20"/>
        </w:rPr>
        <w:t xml:space="preserve">Dál také rostou ceny nemovitostí, a tím i </w:t>
      </w:r>
      <w:r w:rsidR="00174317" w:rsidRPr="00BB51F4">
        <w:rPr>
          <w:rFonts w:ascii="Arial" w:hAnsi="Arial" w:cs="Arial"/>
          <w:b/>
          <w:sz w:val="20"/>
          <w:szCs w:val="20"/>
        </w:rPr>
        <w:t xml:space="preserve">průměrná </w:t>
      </w:r>
      <w:r w:rsidR="00FB6B8F">
        <w:rPr>
          <w:rFonts w:ascii="Arial" w:hAnsi="Arial" w:cs="Arial"/>
          <w:b/>
          <w:sz w:val="20"/>
          <w:szCs w:val="20"/>
        </w:rPr>
        <w:t xml:space="preserve">výše </w:t>
      </w:r>
      <w:r w:rsidR="00174317" w:rsidRPr="00BB51F4">
        <w:rPr>
          <w:rFonts w:ascii="Arial" w:hAnsi="Arial" w:cs="Arial"/>
          <w:b/>
          <w:sz w:val="20"/>
          <w:szCs w:val="20"/>
        </w:rPr>
        <w:t xml:space="preserve">hypotéky, která </w:t>
      </w:r>
      <w:r w:rsidR="00174317">
        <w:rPr>
          <w:rFonts w:ascii="Arial" w:hAnsi="Arial" w:cs="Arial"/>
          <w:b/>
          <w:sz w:val="20"/>
          <w:szCs w:val="20"/>
        </w:rPr>
        <w:t>letos</w:t>
      </w:r>
      <w:r w:rsidR="00174317" w:rsidRPr="00BB51F4">
        <w:rPr>
          <w:rFonts w:ascii="Arial" w:hAnsi="Arial" w:cs="Arial"/>
          <w:b/>
          <w:sz w:val="20"/>
          <w:szCs w:val="20"/>
        </w:rPr>
        <w:t xml:space="preserve"> dosahuje </w:t>
      </w:r>
      <w:r w:rsidR="00174317">
        <w:rPr>
          <w:rFonts w:ascii="Arial" w:hAnsi="Arial" w:cs="Arial"/>
          <w:b/>
          <w:sz w:val="20"/>
          <w:szCs w:val="20"/>
        </w:rPr>
        <w:t xml:space="preserve">2 925 582 korun. </w:t>
      </w:r>
      <w:r w:rsidR="00FB6B8F">
        <w:rPr>
          <w:rFonts w:ascii="Arial" w:hAnsi="Arial" w:cs="Arial"/>
          <w:b/>
          <w:sz w:val="20"/>
          <w:szCs w:val="20"/>
        </w:rPr>
        <w:t>Za posledních deset let tak vzrostla o téměř 85 %.</w:t>
      </w:r>
    </w:p>
    <w:p w14:paraId="274FFE70" w14:textId="6DA21450" w:rsidR="00174317" w:rsidRDefault="00174317" w:rsidP="006D1884">
      <w:pPr>
        <w:jc w:val="both"/>
        <w:rPr>
          <w:rFonts w:ascii="Arial" w:hAnsi="Arial" w:cs="Arial"/>
          <w:b/>
          <w:sz w:val="20"/>
          <w:szCs w:val="20"/>
        </w:rPr>
      </w:pPr>
    </w:p>
    <w:p w14:paraId="28A9C6D0" w14:textId="1CA3D304" w:rsidR="00477FFA" w:rsidRDefault="00477FFA" w:rsidP="00477FFA">
      <w:pPr>
        <w:jc w:val="both"/>
        <w:rPr>
          <w:rFonts w:ascii="Arial" w:hAnsi="Arial" w:cs="Arial"/>
          <w:sz w:val="20"/>
          <w:szCs w:val="20"/>
        </w:rPr>
      </w:pPr>
      <w:r w:rsidRPr="00477FFA">
        <w:rPr>
          <w:rFonts w:ascii="Arial" w:hAnsi="Arial" w:cs="Arial"/>
          <w:i/>
          <w:sz w:val="20"/>
          <w:szCs w:val="20"/>
        </w:rPr>
        <w:t>„Současná data jednoznačně ukazují, že růst Indexu bude v září a říjnu ještě akcelerovat. Už nyní se průměr úrokové sazby blíží ke 2,5 %. Sazby postupně zvedají jak menší, tak velcí hráči na trhu. Pokud se nic dramaticky nezmění, jsem přesvědčen, že hranice 3 % u fixace na 5 let pravděpodobně padne koncem tohoto roku. Přesto však zájem o hypoteční úvěry zatím neopadá, tím pádem tlak na nemovitostní trh i na růst cen</w:t>
      </w:r>
      <w:r w:rsidR="00F32739">
        <w:rPr>
          <w:rFonts w:ascii="Arial" w:hAnsi="Arial" w:cs="Arial"/>
          <w:i/>
          <w:sz w:val="20"/>
          <w:szCs w:val="20"/>
        </w:rPr>
        <w:t xml:space="preserve"> zůstává</w:t>
      </w:r>
      <w:r w:rsidRPr="00477FFA">
        <w:rPr>
          <w:rFonts w:ascii="Arial" w:hAnsi="Arial" w:cs="Arial"/>
          <w:i/>
          <w:sz w:val="20"/>
          <w:szCs w:val="20"/>
        </w:rPr>
        <w:t xml:space="preserve"> stále stejný,“</w:t>
      </w:r>
      <w:r>
        <w:rPr>
          <w:rFonts w:ascii="Arial" w:hAnsi="Arial" w:cs="Arial"/>
          <w:sz w:val="20"/>
          <w:szCs w:val="20"/>
        </w:rPr>
        <w:t xml:space="preserve"> komentuje aktuální vývoj </w:t>
      </w:r>
      <w:r w:rsidRPr="00477FFA">
        <w:rPr>
          <w:rFonts w:ascii="Arial" w:hAnsi="Arial" w:cs="Arial"/>
          <w:b/>
          <w:sz w:val="20"/>
          <w:szCs w:val="20"/>
        </w:rPr>
        <w:t>Martin Novák, hlavní analytik Broker Consulting</w:t>
      </w:r>
      <w:r w:rsidRPr="00477FFA">
        <w:rPr>
          <w:rFonts w:ascii="Arial" w:hAnsi="Arial" w:cs="Arial"/>
          <w:sz w:val="20"/>
          <w:szCs w:val="20"/>
        </w:rPr>
        <w:t>.</w:t>
      </w:r>
    </w:p>
    <w:p w14:paraId="21C82D3B" w14:textId="77777777" w:rsidR="00477FFA" w:rsidRDefault="00477FFA" w:rsidP="005F65A1">
      <w:pPr>
        <w:jc w:val="both"/>
        <w:rPr>
          <w:rFonts w:ascii="Arial" w:hAnsi="Arial" w:cs="Arial"/>
          <w:sz w:val="20"/>
          <w:szCs w:val="20"/>
        </w:rPr>
      </w:pPr>
    </w:p>
    <w:p w14:paraId="58D44C73" w14:textId="53CF6E8F" w:rsidR="005F65A1" w:rsidRPr="00477FFA" w:rsidRDefault="00477FFA" w:rsidP="005F65A1">
      <w:pPr>
        <w:jc w:val="both"/>
        <w:rPr>
          <w:rFonts w:ascii="Arial" w:hAnsi="Arial" w:cs="Arial"/>
          <w:b/>
          <w:sz w:val="20"/>
          <w:szCs w:val="20"/>
        </w:rPr>
      </w:pPr>
      <w:r>
        <w:rPr>
          <w:rFonts w:ascii="Arial" w:hAnsi="Arial" w:cs="Arial"/>
          <w:sz w:val="20"/>
          <w:szCs w:val="20"/>
        </w:rPr>
        <w:t xml:space="preserve">Pokračujícímu trendu rostoucích sazeb u hypoték nahrává i oznámení </w:t>
      </w:r>
      <w:r w:rsidR="005F65A1" w:rsidRPr="00FB2241">
        <w:rPr>
          <w:rFonts w:ascii="Arial" w:hAnsi="Arial" w:cs="Arial"/>
          <w:sz w:val="20"/>
          <w:szCs w:val="20"/>
        </w:rPr>
        <w:t>Č</w:t>
      </w:r>
      <w:r>
        <w:rPr>
          <w:rFonts w:ascii="Arial" w:hAnsi="Arial" w:cs="Arial"/>
          <w:sz w:val="20"/>
          <w:szCs w:val="20"/>
        </w:rPr>
        <w:t>eské národní banky, která</w:t>
      </w:r>
      <w:r w:rsidR="005F65A1" w:rsidRPr="00FB2241">
        <w:rPr>
          <w:rFonts w:ascii="Arial" w:hAnsi="Arial" w:cs="Arial"/>
          <w:sz w:val="20"/>
          <w:szCs w:val="20"/>
        </w:rPr>
        <w:t xml:space="preserve"> </w:t>
      </w:r>
      <w:r w:rsidR="005F65A1" w:rsidRPr="005F65A1">
        <w:rPr>
          <w:rFonts w:ascii="Arial" w:hAnsi="Arial" w:cs="Arial"/>
          <w:sz w:val="20"/>
          <w:szCs w:val="20"/>
        </w:rPr>
        <w:t xml:space="preserve">plánuje </w:t>
      </w:r>
      <w:r w:rsidR="00D60444">
        <w:rPr>
          <w:rFonts w:ascii="Arial" w:hAnsi="Arial" w:cs="Arial"/>
          <w:sz w:val="20"/>
          <w:szCs w:val="20"/>
        </w:rPr>
        <w:t xml:space="preserve">i nadále </w:t>
      </w:r>
      <w:r>
        <w:rPr>
          <w:rFonts w:ascii="Arial" w:hAnsi="Arial" w:cs="Arial"/>
          <w:sz w:val="20"/>
          <w:szCs w:val="20"/>
        </w:rPr>
        <w:t xml:space="preserve">zvyšovat </w:t>
      </w:r>
      <w:r w:rsidR="00EB5354">
        <w:rPr>
          <w:rFonts w:ascii="Arial" w:hAnsi="Arial" w:cs="Arial"/>
          <w:sz w:val="20"/>
          <w:szCs w:val="20"/>
        </w:rPr>
        <w:t xml:space="preserve">základní úrokové sazby na každém svém letošním zasedání </w:t>
      </w:r>
      <w:r w:rsidR="00D60444">
        <w:rPr>
          <w:rFonts w:ascii="Arial" w:hAnsi="Arial" w:cs="Arial"/>
          <w:sz w:val="20"/>
          <w:szCs w:val="20"/>
        </w:rPr>
        <w:t>a také</w:t>
      </w:r>
      <w:r w:rsidR="00EB5354">
        <w:rPr>
          <w:rFonts w:ascii="Arial" w:hAnsi="Arial" w:cs="Arial"/>
          <w:sz w:val="20"/>
          <w:szCs w:val="20"/>
        </w:rPr>
        <w:t xml:space="preserve"> na počátku příštího roku. Nejdříve by k tomu mohlo dojít </w:t>
      </w:r>
      <w:r w:rsidR="00D60444">
        <w:rPr>
          <w:rFonts w:ascii="Arial" w:hAnsi="Arial" w:cs="Arial"/>
          <w:sz w:val="20"/>
          <w:szCs w:val="20"/>
        </w:rPr>
        <w:t xml:space="preserve">na jejím zasedání </w:t>
      </w:r>
      <w:r w:rsidR="00EB5354">
        <w:rPr>
          <w:rFonts w:ascii="Arial" w:hAnsi="Arial" w:cs="Arial"/>
          <w:sz w:val="20"/>
          <w:szCs w:val="20"/>
        </w:rPr>
        <w:t xml:space="preserve">16. září. </w:t>
      </w:r>
    </w:p>
    <w:p w14:paraId="405B4BED" w14:textId="57D13ED6" w:rsidR="005F65A1" w:rsidRPr="005F65A1" w:rsidRDefault="005F65A1" w:rsidP="005F65A1">
      <w:pPr>
        <w:jc w:val="both"/>
        <w:rPr>
          <w:rFonts w:ascii="Arial" w:hAnsi="Arial" w:cs="Arial"/>
          <w:sz w:val="20"/>
          <w:szCs w:val="20"/>
        </w:rPr>
      </w:pPr>
    </w:p>
    <w:p w14:paraId="097C92C0" w14:textId="5CFF9009" w:rsidR="005F65A1" w:rsidRPr="005F65A1" w:rsidRDefault="00277D20" w:rsidP="005F65A1">
      <w:pPr>
        <w:jc w:val="both"/>
        <w:rPr>
          <w:rFonts w:ascii="Arial" w:hAnsi="Arial" w:cs="Arial"/>
          <w:sz w:val="20"/>
          <w:szCs w:val="20"/>
        </w:rPr>
      </w:pPr>
      <w:r>
        <w:rPr>
          <w:rFonts w:ascii="Arial" w:hAnsi="Arial" w:cs="Arial"/>
          <w:sz w:val="20"/>
          <w:szCs w:val="20"/>
        </w:rPr>
        <w:t>Podle Nováka je</w:t>
      </w:r>
      <w:r w:rsidR="005F65A1" w:rsidRPr="005F65A1">
        <w:rPr>
          <w:rFonts w:ascii="Arial" w:hAnsi="Arial" w:cs="Arial"/>
          <w:sz w:val="20"/>
          <w:szCs w:val="20"/>
        </w:rPr>
        <w:t xml:space="preserve"> současná situace vyústěním </w:t>
      </w:r>
      <w:r w:rsidR="00AB3D30">
        <w:rPr>
          <w:rFonts w:ascii="Arial" w:hAnsi="Arial" w:cs="Arial"/>
          <w:sz w:val="20"/>
          <w:szCs w:val="20"/>
        </w:rPr>
        <w:t xml:space="preserve">vývoje v </w:t>
      </w:r>
      <w:r w:rsidR="005F65A1" w:rsidRPr="005F65A1">
        <w:rPr>
          <w:rFonts w:ascii="Arial" w:hAnsi="Arial" w:cs="Arial"/>
          <w:sz w:val="20"/>
          <w:szCs w:val="20"/>
        </w:rPr>
        <w:t>posledních let</w:t>
      </w:r>
      <w:r w:rsidR="00AB3D30">
        <w:rPr>
          <w:rFonts w:ascii="Arial" w:hAnsi="Arial" w:cs="Arial"/>
          <w:sz w:val="20"/>
          <w:szCs w:val="20"/>
        </w:rPr>
        <w:t>ech</w:t>
      </w:r>
      <w:r w:rsidR="00D60444">
        <w:rPr>
          <w:rFonts w:ascii="Arial" w:hAnsi="Arial" w:cs="Arial"/>
          <w:sz w:val="20"/>
          <w:szCs w:val="20"/>
        </w:rPr>
        <w:t>, její příčinu je třeba vidět v kombinaci</w:t>
      </w:r>
      <w:r w:rsidR="005F65A1" w:rsidRPr="005F65A1">
        <w:rPr>
          <w:rFonts w:ascii="Arial" w:hAnsi="Arial" w:cs="Arial"/>
          <w:sz w:val="20"/>
          <w:szCs w:val="20"/>
        </w:rPr>
        <w:t xml:space="preserve"> několika </w:t>
      </w:r>
      <w:r w:rsidR="00AC7F1C">
        <w:rPr>
          <w:rFonts w:ascii="Arial" w:hAnsi="Arial" w:cs="Arial"/>
          <w:sz w:val="20"/>
          <w:szCs w:val="20"/>
        </w:rPr>
        <w:t>faktorů</w:t>
      </w:r>
      <w:r w:rsidR="005F65A1" w:rsidRPr="005F65A1">
        <w:rPr>
          <w:rFonts w:ascii="Arial" w:hAnsi="Arial" w:cs="Arial"/>
          <w:sz w:val="20"/>
          <w:szCs w:val="20"/>
        </w:rPr>
        <w:t>. Prvním</w:t>
      </w:r>
      <w:r w:rsidR="00AB3D30">
        <w:rPr>
          <w:rFonts w:ascii="Arial" w:hAnsi="Arial" w:cs="Arial"/>
          <w:sz w:val="20"/>
          <w:szCs w:val="20"/>
        </w:rPr>
        <w:t xml:space="preserve"> z nich</w:t>
      </w:r>
      <w:r w:rsidR="005F65A1" w:rsidRPr="005F65A1">
        <w:rPr>
          <w:rFonts w:ascii="Arial" w:hAnsi="Arial" w:cs="Arial"/>
          <w:sz w:val="20"/>
          <w:szCs w:val="20"/>
        </w:rPr>
        <w:t xml:space="preserve"> je </w:t>
      </w:r>
      <w:r w:rsidR="00AB3D30">
        <w:rPr>
          <w:rFonts w:ascii="Arial" w:hAnsi="Arial" w:cs="Arial"/>
          <w:sz w:val="20"/>
          <w:szCs w:val="20"/>
        </w:rPr>
        <w:t>dlouhodobě velmi pomalá bytová výstavba, která</w:t>
      </w:r>
      <w:r w:rsidR="005F65A1" w:rsidRPr="005F65A1">
        <w:rPr>
          <w:rFonts w:ascii="Arial" w:hAnsi="Arial" w:cs="Arial"/>
          <w:sz w:val="20"/>
          <w:szCs w:val="20"/>
        </w:rPr>
        <w:t xml:space="preserve"> nereflektuje zvyšující se </w:t>
      </w:r>
      <w:r>
        <w:rPr>
          <w:rFonts w:ascii="Arial" w:hAnsi="Arial" w:cs="Arial"/>
          <w:sz w:val="20"/>
          <w:szCs w:val="20"/>
        </w:rPr>
        <w:t>poptávku po vlastním</w:t>
      </w:r>
      <w:r w:rsidR="00AB3D30">
        <w:rPr>
          <w:rFonts w:ascii="Arial" w:hAnsi="Arial" w:cs="Arial"/>
          <w:sz w:val="20"/>
          <w:szCs w:val="20"/>
        </w:rPr>
        <w:t xml:space="preserve"> bydlení</w:t>
      </w:r>
      <w:r w:rsidR="005F65A1" w:rsidRPr="005F65A1">
        <w:rPr>
          <w:rFonts w:ascii="Arial" w:hAnsi="Arial" w:cs="Arial"/>
          <w:sz w:val="20"/>
          <w:szCs w:val="20"/>
        </w:rPr>
        <w:t xml:space="preserve">. </w:t>
      </w:r>
      <w:r w:rsidR="00D60444">
        <w:rPr>
          <w:rFonts w:ascii="Arial" w:hAnsi="Arial" w:cs="Arial"/>
          <w:sz w:val="20"/>
          <w:szCs w:val="20"/>
        </w:rPr>
        <w:t>Rychlé</w:t>
      </w:r>
      <w:r w:rsidR="00AB3D30">
        <w:rPr>
          <w:rFonts w:ascii="Arial" w:hAnsi="Arial" w:cs="Arial"/>
          <w:sz w:val="20"/>
          <w:szCs w:val="20"/>
        </w:rPr>
        <w:t xml:space="preserve"> řešení </w:t>
      </w:r>
      <w:r>
        <w:rPr>
          <w:rFonts w:ascii="Arial" w:hAnsi="Arial" w:cs="Arial"/>
          <w:sz w:val="20"/>
          <w:szCs w:val="20"/>
        </w:rPr>
        <w:t xml:space="preserve">problému však </w:t>
      </w:r>
      <w:r w:rsidR="00AB3D30">
        <w:rPr>
          <w:rFonts w:ascii="Arial" w:hAnsi="Arial" w:cs="Arial"/>
          <w:sz w:val="20"/>
          <w:szCs w:val="20"/>
        </w:rPr>
        <w:t xml:space="preserve">nedokáže nabídnout ani novela stavebního zákona. </w:t>
      </w:r>
      <w:r w:rsidR="005F65A1" w:rsidRPr="005F65A1">
        <w:rPr>
          <w:rFonts w:ascii="Arial" w:hAnsi="Arial" w:cs="Arial"/>
          <w:sz w:val="20"/>
          <w:szCs w:val="20"/>
        </w:rPr>
        <w:t>Druhý</w:t>
      </w:r>
      <w:r w:rsidR="00AB3D30">
        <w:rPr>
          <w:rFonts w:ascii="Arial" w:hAnsi="Arial" w:cs="Arial"/>
          <w:sz w:val="20"/>
          <w:szCs w:val="20"/>
        </w:rPr>
        <w:t>m</w:t>
      </w:r>
      <w:r w:rsidR="005F65A1" w:rsidRPr="005F65A1">
        <w:rPr>
          <w:rFonts w:ascii="Arial" w:hAnsi="Arial" w:cs="Arial"/>
          <w:sz w:val="20"/>
          <w:szCs w:val="20"/>
        </w:rPr>
        <w:t xml:space="preserve"> faktor</w:t>
      </w:r>
      <w:r w:rsidR="00AB3D30">
        <w:rPr>
          <w:rFonts w:ascii="Arial" w:hAnsi="Arial" w:cs="Arial"/>
          <w:sz w:val="20"/>
          <w:szCs w:val="20"/>
        </w:rPr>
        <w:t>em</w:t>
      </w:r>
      <w:r w:rsidR="005F65A1" w:rsidRPr="005F65A1">
        <w:rPr>
          <w:rFonts w:ascii="Arial" w:hAnsi="Arial" w:cs="Arial"/>
          <w:sz w:val="20"/>
          <w:szCs w:val="20"/>
        </w:rPr>
        <w:t xml:space="preserve"> jsou stále </w:t>
      </w:r>
      <w:r w:rsidR="00AB3D30">
        <w:rPr>
          <w:rFonts w:ascii="Arial" w:hAnsi="Arial" w:cs="Arial"/>
          <w:sz w:val="20"/>
          <w:szCs w:val="20"/>
        </w:rPr>
        <w:t xml:space="preserve">ještě relativně </w:t>
      </w:r>
      <w:r w:rsidR="005F65A1" w:rsidRPr="005F65A1">
        <w:rPr>
          <w:rFonts w:ascii="Arial" w:hAnsi="Arial" w:cs="Arial"/>
          <w:sz w:val="20"/>
          <w:szCs w:val="20"/>
        </w:rPr>
        <w:t xml:space="preserve">příznivé úrokové sazby, které </w:t>
      </w:r>
      <w:r w:rsidR="00AB3D30">
        <w:rPr>
          <w:rFonts w:ascii="Arial" w:hAnsi="Arial" w:cs="Arial"/>
          <w:sz w:val="20"/>
          <w:szCs w:val="20"/>
        </w:rPr>
        <w:t xml:space="preserve">se v </w:t>
      </w:r>
      <w:r w:rsidR="005F65A1" w:rsidRPr="005F65A1">
        <w:rPr>
          <w:rFonts w:ascii="Arial" w:hAnsi="Arial" w:cs="Arial"/>
          <w:sz w:val="20"/>
          <w:szCs w:val="20"/>
        </w:rPr>
        <w:t xml:space="preserve">posledních letech </w:t>
      </w:r>
      <w:r w:rsidR="00AB3D30">
        <w:rPr>
          <w:rFonts w:ascii="Arial" w:hAnsi="Arial" w:cs="Arial"/>
          <w:sz w:val="20"/>
          <w:szCs w:val="20"/>
        </w:rPr>
        <w:t xml:space="preserve">držely </w:t>
      </w:r>
      <w:r>
        <w:rPr>
          <w:rFonts w:ascii="Arial" w:hAnsi="Arial" w:cs="Arial"/>
          <w:sz w:val="20"/>
          <w:szCs w:val="20"/>
        </w:rPr>
        <w:t xml:space="preserve">díky monetární politice </w:t>
      </w:r>
      <w:r w:rsidRPr="005F65A1">
        <w:rPr>
          <w:rFonts w:ascii="Arial" w:hAnsi="Arial" w:cs="Arial"/>
          <w:sz w:val="20"/>
          <w:szCs w:val="20"/>
        </w:rPr>
        <w:t>Č</w:t>
      </w:r>
      <w:r>
        <w:rPr>
          <w:rFonts w:ascii="Arial" w:hAnsi="Arial" w:cs="Arial"/>
          <w:sz w:val="20"/>
          <w:szCs w:val="20"/>
        </w:rPr>
        <w:t xml:space="preserve">eské národní banky </w:t>
      </w:r>
      <w:r w:rsidR="00F32739">
        <w:rPr>
          <w:rFonts w:ascii="Arial" w:hAnsi="Arial" w:cs="Arial"/>
          <w:sz w:val="20"/>
          <w:szCs w:val="20"/>
        </w:rPr>
        <w:t>a</w:t>
      </w:r>
      <w:r>
        <w:rPr>
          <w:rFonts w:ascii="Arial" w:hAnsi="Arial" w:cs="Arial"/>
          <w:sz w:val="20"/>
          <w:szCs w:val="20"/>
        </w:rPr>
        <w:t xml:space="preserve"> Evropské centrální banky </w:t>
      </w:r>
      <w:r w:rsidR="00AB3D30">
        <w:rPr>
          <w:rFonts w:ascii="Arial" w:hAnsi="Arial" w:cs="Arial"/>
          <w:sz w:val="20"/>
          <w:szCs w:val="20"/>
        </w:rPr>
        <w:t>rekordně nízko</w:t>
      </w:r>
      <w:r w:rsidR="009D7AFB">
        <w:rPr>
          <w:rFonts w:ascii="Arial" w:hAnsi="Arial" w:cs="Arial"/>
          <w:sz w:val="20"/>
          <w:szCs w:val="20"/>
        </w:rPr>
        <w:t xml:space="preserve">. </w:t>
      </w:r>
      <w:r w:rsidR="005F65A1" w:rsidRPr="005F65A1">
        <w:rPr>
          <w:rFonts w:ascii="Arial" w:hAnsi="Arial" w:cs="Arial"/>
          <w:sz w:val="20"/>
          <w:szCs w:val="20"/>
        </w:rPr>
        <w:t>Díky kvantitativnímu uvolňování, tedy nákupu státních a následně i korporátních dluhopisů, došlo ke snížení sazeb v</w:t>
      </w:r>
      <w:r>
        <w:rPr>
          <w:rFonts w:ascii="Arial" w:hAnsi="Arial" w:cs="Arial"/>
          <w:sz w:val="20"/>
          <w:szCs w:val="20"/>
        </w:rPr>
        <w:t> </w:t>
      </w:r>
      <w:r w:rsidR="005F65A1" w:rsidRPr="005F65A1">
        <w:rPr>
          <w:rFonts w:ascii="Arial" w:hAnsi="Arial" w:cs="Arial"/>
          <w:sz w:val="20"/>
          <w:szCs w:val="20"/>
        </w:rPr>
        <w:t>ekonomice</w:t>
      </w:r>
      <w:r>
        <w:rPr>
          <w:rFonts w:ascii="Arial" w:hAnsi="Arial" w:cs="Arial"/>
          <w:sz w:val="20"/>
          <w:szCs w:val="20"/>
        </w:rPr>
        <w:t>,</w:t>
      </w:r>
      <w:r w:rsidR="005F65A1" w:rsidRPr="005F65A1">
        <w:rPr>
          <w:rFonts w:ascii="Arial" w:hAnsi="Arial" w:cs="Arial"/>
          <w:sz w:val="20"/>
          <w:szCs w:val="20"/>
        </w:rPr>
        <w:t xml:space="preserve"> a tím i snížení výnosů u konzervativních nástrojů.</w:t>
      </w:r>
      <w:r>
        <w:rPr>
          <w:rFonts w:ascii="Arial" w:hAnsi="Arial" w:cs="Arial"/>
          <w:sz w:val="20"/>
          <w:szCs w:val="20"/>
        </w:rPr>
        <w:t xml:space="preserve"> Investoři tak hledají výnosy </w:t>
      </w:r>
      <w:r w:rsidR="005F65A1" w:rsidRPr="005F65A1">
        <w:rPr>
          <w:rFonts w:ascii="Arial" w:hAnsi="Arial" w:cs="Arial"/>
          <w:sz w:val="20"/>
          <w:szCs w:val="20"/>
        </w:rPr>
        <w:t>ve smíšených a akciových fondech nebo právě v nemovitostech.</w:t>
      </w:r>
      <w:r w:rsidR="00F32739">
        <w:rPr>
          <w:rFonts w:ascii="Arial" w:hAnsi="Arial" w:cs="Arial"/>
          <w:sz w:val="20"/>
          <w:szCs w:val="20"/>
        </w:rPr>
        <w:t xml:space="preserve"> V důsledku většího </w:t>
      </w:r>
      <w:r>
        <w:rPr>
          <w:rFonts w:ascii="Arial" w:hAnsi="Arial" w:cs="Arial"/>
          <w:sz w:val="20"/>
          <w:szCs w:val="20"/>
        </w:rPr>
        <w:t xml:space="preserve">zájmu </w:t>
      </w:r>
      <w:r w:rsidR="009D7AFB">
        <w:rPr>
          <w:rFonts w:ascii="Arial" w:hAnsi="Arial" w:cs="Arial"/>
          <w:sz w:val="20"/>
          <w:szCs w:val="20"/>
        </w:rPr>
        <w:t xml:space="preserve">investorů o </w:t>
      </w:r>
      <w:r w:rsidRPr="005F65A1">
        <w:rPr>
          <w:rFonts w:ascii="Arial" w:hAnsi="Arial" w:cs="Arial"/>
          <w:sz w:val="20"/>
          <w:szCs w:val="20"/>
        </w:rPr>
        <w:t>nákup nemovitostí</w:t>
      </w:r>
      <w:r w:rsidR="009D7AFB">
        <w:rPr>
          <w:rFonts w:ascii="Arial" w:hAnsi="Arial" w:cs="Arial"/>
          <w:sz w:val="20"/>
          <w:szCs w:val="20"/>
        </w:rPr>
        <w:t xml:space="preserve"> tak </w:t>
      </w:r>
      <w:r w:rsidR="00D60444">
        <w:rPr>
          <w:rFonts w:ascii="Arial" w:hAnsi="Arial" w:cs="Arial"/>
          <w:sz w:val="20"/>
          <w:szCs w:val="20"/>
        </w:rPr>
        <w:t xml:space="preserve">dochází </w:t>
      </w:r>
      <w:r w:rsidR="009D7AFB">
        <w:rPr>
          <w:rFonts w:ascii="Arial" w:hAnsi="Arial" w:cs="Arial"/>
          <w:sz w:val="20"/>
          <w:szCs w:val="20"/>
        </w:rPr>
        <w:t>k</w:t>
      </w:r>
      <w:r>
        <w:rPr>
          <w:rFonts w:ascii="Arial" w:hAnsi="Arial" w:cs="Arial"/>
          <w:sz w:val="20"/>
          <w:szCs w:val="20"/>
        </w:rPr>
        <w:t>e zvyšování</w:t>
      </w:r>
      <w:r w:rsidR="009D7AFB">
        <w:rPr>
          <w:rFonts w:ascii="Arial" w:hAnsi="Arial" w:cs="Arial"/>
          <w:sz w:val="20"/>
          <w:szCs w:val="20"/>
        </w:rPr>
        <w:t xml:space="preserve"> jejich cen.</w:t>
      </w:r>
    </w:p>
    <w:p w14:paraId="0B168674" w14:textId="77777777" w:rsidR="005F65A1" w:rsidRPr="005F65A1" w:rsidRDefault="005F65A1" w:rsidP="005F65A1">
      <w:pPr>
        <w:jc w:val="both"/>
        <w:rPr>
          <w:rFonts w:ascii="Arial" w:hAnsi="Arial" w:cs="Arial"/>
          <w:sz w:val="20"/>
          <w:szCs w:val="20"/>
        </w:rPr>
      </w:pPr>
    </w:p>
    <w:p w14:paraId="397D30B6" w14:textId="639205CD" w:rsidR="005F65A1" w:rsidRDefault="009D7AFB" w:rsidP="005F65A1">
      <w:pPr>
        <w:jc w:val="both"/>
        <w:rPr>
          <w:rFonts w:ascii="Arial" w:hAnsi="Arial" w:cs="Arial"/>
          <w:sz w:val="20"/>
          <w:szCs w:val="20"/>
        </w:rPr>
      </w:pPr>
      <w:r w:rsidRPr="009D7AFB">
        <w:rPr>
          <w:rFonts w:ascii="Arial" w:hAnsi="Arial" w:cs="Arial"/>
          <w:i/>
          <w:sz w:val="20"/>
          <w:szCs w:val="20"/>
        </w:rPr>
        <w:t>„Běžný zájemce</w:t>
      </w:r>
      <w:r w:rsidR="005F65A1" w:rsidRPr="009D7AFB">
        <w:rPr>
          <w:rFonts w:ascii="Arial" w:hAnsi="Arial" w:cs="Arial"/>
          <w:i/>
          <w:sz w:val="20"/>
          <w:szCs w:val="20"/>
        </w:rPr>
        <w:t>, který uvažuje o nákupu nemovitosti</w:t>
      </w:r>
      <w:r w:rsidRPr="009D7AFB">
        <w:rPr>
          <w:rFonts w:ascii="Arial" w:hAnsi="Arial" w:cs="Arial"/>
          <w:i/>
          <w:sz w:val="20"/>
          <w:szCs w:val="20"/>
        </w:rPr>
        <w:t xml:space="preserve">, se ocitá „v </w:t>
      </w:r>
      <w:r w:rsidR="005F65A1" w:rsidRPr="009D7AFB">
        <w:rPr>
          <w:rFonts w:ascii="Arial" w:hAnsi="Arial" w:cs="Arial"/>
          <w:i/>
          <w:sz w:val="20"/>
          <w:szCs w:val="20"/>
        </w:rPr>
        <w:t>kleštích</w:t>
      </w:r>
      <w:r w:rsidRPr="009D7AFB">
        <w:rPr>
          <w:rFonts w:ascii="Arial" w:hAnsi="Arial" w:cs="Arial"/>
          <w:i/>
          <w:sz w:val="20"/>
          <w:szCs w:val="20"/>
        </w:rPr>
        <w:t>“</w:t>
      </w:r>
      <w:r w:rsidR="005F65A1" w:rsidRPr="009D7AFB">
        <w:rPr>
          <w:rFonts w:ascii="Arial" w:hAnsi="Arial" w:cs="Arial"/>
          <w:i/>
          <w:sz w:val="20"/>
          <w:szCs w:val="20"/>
        </w:rPr>
        <w:t>. Zvýšení úrokových sazeb v ekonomice sice může</w:t>
      </w:r>
      <w:r w:rsidRPr="009D7AFB">
        <w:rPr>
          <w:rFonts w:ascii="Arial" w:hAnsi="Arial" w:cs="Arial"/>
          <w:i/>
          <w:sz w:val="20"/>
          <w:szCs w:val="20"/>
        </w:rPr>
        <w:t xml:space="preserve"> odradit investory od nákupu nemovitosti, čímž se</w:t>
      </w:r>
      <w:r>
        <w:rPr>
          <w:rFonts w:ascii="Arial" w:hAnsi="Arial" w:cs="Arial"/>
          <w:i/>
          <w:sz w:val="20"/>
          <w:szCs w:val="20"/>
        </w:rPr>
        <w:t xml:space="preserve"> uvolní</w:t>
      </w:r>
      <w:r w:rsidR="005F65A1" w:rsidRPr="009D7AFB">
        <w:rPr>
          <w:rFonts w:ascii="Arial" w:hAnsi="Arial" w:cs="Arial"/>
          <w:i/>
          <w:sz w:val="20"/>
          <w:szCs w:val="20"/>
        </w:rPr>
        <w:t xml:space="preserve"> </w:t>
      </w:r>
      <w:r>
        <w:rPr>
          <w:rFonts w:ascii="Arial" w:hAnsi="Arial" w:cs="Arial"/>
          <w:i/>
          <w:sz w:val="20"/>
          <w:szCs w:val="20"/>
        </w:rPr>
        <w:t xml:space="preserve">tlak na růst cen, </w:t>
      </w:r>
      <w:r w:rsidRPr="009D7AFB">
        <w:rPr>
          <w:rFonts w:ascii="Arial" w:hAnsi="Arial" w:cs="Arial"/>
          <w:i/>
          <w:sz w:val="20"/>
          <w:szCs w:val="20"/>
        </w:rPr>
        <w:t xml:space="preserve">ovšem </w:t>
      </w:r>
      <w:r w:rsidR="005F65A1" w:rsidRPr="009D7AFB">
        <w:rPr>
          <w:rFonts w:ascii="Arial" w:hAnsi="Arial" w:cs="Arial"/>
          <w:i/>
          <w:sz w:val="20"/>
          <w:szCs w:val="20"/>
        </w:rPr>
        <w:t xml:space="preserve">na druhou stranu </w:t>
      </w:r>
      <w:r w:rsidRPr="009D7AFB">
        <w:rPr>
          <w:rFonts w:ascii="Arial" w:hAnsi="Arial" w:cs="Arial"/>
          <w:i/>
          <w:sz w:val="20"/>
          <w:szCs w:val="20"/>
        </w:rPr>
        <w:t>půjdou nahoru</w:t>
      </w:r>
      <w:r>
        <w:rPr>
          <w:rFonts w:ascii="Arial" w:hAnsi="Arial" w:cs="Arial"/>
          <w:i/>
          <w:sz w:val="20"/>
          <w:szCs w:val="20"/>
        </w:rPr>
        <w:t xml:space="preserve"> sazby </w:t>
      </w:r>
      <w:r w:rsidR="005F65A1" w:rsidRPr="009D7AFB">
        <w:rPr>
          <w:rFonts w:ascii="Arial" w:hAnsi="Arial" w:cs="Arial"/>
          <w:i/>
          <w:sz w:val="20"/>
          <w:szCs w:val="20"/>
        </w:rPr>
        <w:t>u hypotečních úvěrů</w:t>
      </w:r>
      <w:r w:rsidRPr="009D7AFB">
        <w:rPr>
          <w:rFonts w:ascii="Arial" w:hAnsi="Arial" w:cs="Arial"/>
          <w:i/>
          <w:sz w:val="20"/>
          <w:szCs w:val="20"/>
        </w:rPr>
        <w:t>, a tudíž i měsíční</w:t>
      </w:r>
      <w:r w:rsidR="005F65A1" w:rsidRPr="009D7AFB">
        <w:rPr>
          <w:rFonts w:ascii="Arial" w:hAnsi="Arial" w:cs="Arial"/>
          <w:i/>
          <w:sz w:val="20"/>
          <w:szCs w:val="20"/>
        </w:rPr>
        <w:t xml:space="preserve"> </w:t>
      </w:r>
      <w:r w:rsidRPr="009D7AFB">
        <w:rPr>
          <w:rFonts w:ascii="Arial" w:hAnsi="Arial" w:cs="Arial"/>
          <w:i/>
          <w:sz w:val="20"/>
          <w:szCs w:val="20"/>
        </w:rPr>
        <w:t>splátky úvěrů,“</w:t>
      </w:r>
      <w:r>
        <w:rPr>
          <w:rFonts w:ascii="Arial" w:hAnsi="Arial" w:cs="Arial"/>
          <w:sz w:val="20"/>
          <w:szCs w:val="20"/>
        </w:rPr>
        <w:t xml:space="preserve"> popisuje Martin Novák.</w:t>
      </w:r>
    </w:p>
    <w:p w14:paraId="4937C7AB" w14:textId="77777777" w:rsidR="009D7AFB" w:rsidRPr="005F65A1" w:rsidRDefault="009D7AFB" w:rsidP="005F65A1">
      <w:pPr>
        <w:jc w:val="both"/>
        <w:rPr>
          <w:rFonts w:ascii="Arial" w:hAnsi="Arial" w:cs="Arial"/>
          <w:sz w:val="20"/>
          <w:szCs w:val="20"/>
        </w:rPr>
      </w:pPr>
    </w:p>
    <w:p w14:paraId="021C4252" w14:textId="797D99AF" w:rsidR="005F65A1" w:rsidRDefault="005F65A1" w:rsidP="005F65A1">
      <w:pPr>
        <w:jc w:val="both"/>
        <w:rPr>
          <w:rFonts w:ascii="Arial" w:hAnsi="Arial" w:cs="Arial"/>
          <w:sz w:val="20"/>
          <w:szCs w:val="20"/>
        </w:rPr>
      </w:pPr>
      <w:r w:rsidRPr="005F65A1">
        <w:rPr>
          <w:rFonts w:ascii="Arial" w:hAnsi="Arial" w:cs="Arial"/>
          <w:sz w:val="20"/>
          <w:szCs w:val="20"/>
        </w:rPr>
        <w:t xml:space="preserve">Bez vlastních prostředků se </w:t>
      </w:r>
      <w:r w:rsidR="009D7AFB">
        <w:rPr>
          <w:rFonts w:ascii="Arial" w:hAnsi="Arial" w:cs="Arial"/>
          <w:sz w:val="20"/>
          <w:szCs w:val="20"/>
        </w:rPr>
        <w:t xml:space="preserve">dnes </w:t>
      </w:r>
      <w:r w:rsidRPr="005F65A1">
        <w:rPr>
          <w:rFonts w:ascii="Arial" w:hAnsi="Arial" w:cs="Arial"/>
          <w:sz w:val="20"/>
          <w:szCs w:val="20"/>
        </w:rPr>
        <w:t xml:space="preserve">zájemce o vlastní bydlení neobejde. </w:t>
      </w:r>
      <w:r w:rsidR="009D7AFB">
        <w:rPr>
          <w:rFonts w:ascii="Arial" w:hAnsi="Arial" w:cs="Arial"/>
          <w:sz w:val="20"/>
          <w:szCs w:val="20"/>
        </w:rPr>
        <w:t xml:space="preserve">K získání hypotéky je třeba mít k dispozici </w:t>
      </w:r>
      <w:r w:rsidRPr="005F65A1">
        <w:rPr>
          <w:rFonts w:ascii="Arial" w:hAnsi="Arial" w:cs="Arial"/>
          <w:sz w:val="20"/>
          <w:szCs w:val="20"/>
        </w:rPr>
        <w:t>20 %, ale spíše 30 %</w:t>
      </w:r>
      <w:r w:rsidR="009D7AFB">
        <w:rPr>
          <w:rFonts w:ascii="Arial" w:hAnsi="Arial" w:cs="Arial"/>
          <w:sz w:val="20"/>
          <w:szCs w:val="20"/>
        </w:rPr>
        <w:t xml:space="preserve"> z vlastních zdrojů</w:t>
      </w:r>
      <w:r w:rsidRPr="005F65A1">
        <w:rPr>
          <w:rFonts w:ascii="Arial" w:hAnsi="Arial" w:cs="Arial"/>
          <w:sz w:val="20"/>
          <w:szCs w:val="20"/>
        </w:rPr>
        <w:t xml:space="preserve">. </w:t>
      </w:r>
      <w:r w:rsidR="009D7AFB">
        <w:rPr>
          <w:rFonts w:ascii="Arial" w:hAnsi="Arial" w:cs="Arial"/>
          <w:sz w:val="20"/>
          <w:szCs w:val="20"/>
        </w:rPr>
        <w:t>Jak udává</w:t>
      </w:r>
      <w:r w:rsidRPr="005F65A1">
        <w:rPr>
          <w:rFonts w:ascii="Arial" w:hAnsi="Arial" w:cs="Arial"/>
          <w:sz w:val="20"/>
          <w:szCs w:val="20"/>
        </w:rPr>
        <w:t xml:space="preserve"> ČNB</w:t>
      </w:r>
      <w:r w:rsidR="009D7AFB">
        <w:rPr>
          <w:rFonts w:ascii="Arial" w:hAnsi="Arial" w:cs="Arial"/>
          <w:sz w:val="20"/>
          <w:szCs w:val="20"/>
        </w:rPr>
        <w:t>,</w:t>
      </w:r>
      <w:r w:rsidRPr="005F65A1">
        <w:rPr>
          <w:rFonts w:ascii="Arial" w:hAnsi="Arial" w:cs="Arial"/>
          <w:sz w:val="20"/>
          <w:szCs w:val="20"/>
        </w:rPr>
        <w:t xml:space="preserve"> nemovitosti </w:t>
      </w:r>
      <w:r w:rsidR="009D7AFB">
        <w:rPr>
          <w:rFonts w:ascii="Arial" w:hAnsi="Arial" w:cs="Arial"/>
          <w:sz w:val="20"/>
          <w:szCs w:val="20"/>
        </w:rPr>
        <w:t xml:space="preserve">jsou </w:t>
      </w:r>
      <w:r w:rsidRPr="005F65A1">
        <w:rPr>
          <w:rFonts w:ascii="Arial" w:hAnsi="Arial" w:cs="Arial"/>
          <w:sz w:val="20"/>
          <w:szCs w:val="20"/>
        </w:rPr>
        <w:t xml:space="preserve">v </w:t>
      </w:r>
      <w:r w:rsidR="009D7AFB">
        <w:rPr>
          <w:rFonts w:ascii="Arial" w:hAnsi="Arial" w:cs="Arial"/>
          <w:sz w:val="20"/>
          <w:szCs w:val="20"/>
        </w:rPr>
        <w:t>Česku</w:t>
      </w:r>
      <w:r w:rsidRPr="005F65A1">
        <w:rPr>
          <w:rFonts w:ascii="Arial" w:hAnsi="Arial" w:cs="Arial"/>
          <w:sz w:val="20"/>
          <w:szCs w:val="20"/>
        </w:rPr>
        <w:t xml:space="preserve"> </w:t>
      </w:r>
      <w:r w:rsidR="009D7AFB" w:rsidRPr="005F65A1">
        <w:rPr>
          <w:rFonts w:ascii="Arial" w:hAnsi="Arial" w:cs="Arial"/>
          <w:sz w:val="20"/>
          <w:szCs w:val="20"/>
        </w:rPr>
        <w:t xml:space="preserve">nadhodnocené </w:t>
      </w:r>
      <w:r w:rsidRPr="005F65A1">
        <w:rPr>
          <w:rFonts w:ascii="Arial" w:hAnsi="Arial" w:cs="Arial"/>
          <w:sz w:val="20"/>
          <w:szCs w:val="20"/>
        </w:rPr>
        <w:t xml:space="preserve">o 15 </w:t>
      </w:r>
      <w:r w:rsidR="009D7AFB">
        <w:rPr>
          <w:rFonts w:ascii="Arial" w:hAnsi="Arial" w:cs="Arial"/>
          <w:sz w:val="20"/>
          <w:szCs w:val="20"/>
        </w:rPr>
        <w:t>až</w:t>
      </w:r>
      <w:r w:rsidRPr="005F65A1">
        <w:rPr>
          <w:rFonts w:ascii="Arial" w:hAnsi="Arial" w:cs="Arial"/>
          <w:sz w:val="20"/>
          <w:szCs w:val="20"/>
        </w:rPr>
        <w:t xml:space="preserve"> 25 %</w:t>
      </w:r>
      <w:r w:rsidR="009D7AFB">
        <w:rPr>
          <w:rFonts w:ascii="Arial" w:hAnsi="Arial" w:cs="Arial"/>
          <w:sz w:val="20"/>
          <w:szCs w:val="20"/>
        </w:rPr>
        <w:t xml:space="preserve">. </w:t>
      </w:r>
      <w:r w:rsidR="00EB5354">
        <w:rPr>
          <w:rFonts w:ascii="Arial" w:hAnsi="Arial" w:cs="Arial"/>
          <w:sz w:val="20"/>
          <w:szCs w:val="20"/>
        </w:rPr>
        <w:t>V mnoha případech tak nastává situace, kdy odh</w:t>
      </w:r>
      <w:r w:rsidRPr="005F65A1">
        <w:rPr>
          <w:rFonts w:ascii="Arial" w:hAnsi="Arial" w:cs="Arial"/>
          <w:sz w:val="20"/>
          <w:szCs w:val="20"/>
        </w:rPr>
        <w:t xml:space="preserve">adci bank poskytující hypoteční úvěry </w:t>
      </w:r>
      <w:r w:rsidR="00EB5354">
        <w:rPr>
          <w:rFonts w:ascii="Arial" w:hAnsi="Arial" w:cs="Arial"/>
          <w:sz w:val="20"/>
          <w:szCs w:val="20"/>
        </w:rPr>
        <w:t>snižují odhadní cenu nemovitosti</w:t>
      </w:r>
      <w:r w:rsidRPr="005F65A1">
        <w:rPr>
          <w:rFonts w:ascii="Arial" w:hAnsi="Arial" w:cs="Arial"/>
          <w:sz w:val="20"/>
          <w:szCs w:val="20"/>
        </w:rPr>
        <w:t xml:space="preserve">. </w:t>
      </w:r>
      <w:r w:rsidR="00EB5354">
        <w:rPr>
          <w:rFonts w:ascii="Arial" w:hAnsi="Arial" w:cs="Arial"/>
          <w:sz w:val="20"/>
          <w:szCs w:val="20"/>
        </w:rPr>
        <w:t xml:space="preserve">V takovém případě tedy </w:t>
      </w:r>
      <w:r w:rsidRPr="005F65A1">
        <w:rPr>
          <w:rFonts w:ascii="Arial" w:hAnsi="Arial" w:cs="Arial"/>
          <w:sz w:val="20"/>
          <w:szCs w:val="20"/>
        </w:rPr>
        <w:t xml:space="preserve">odhadní cena pro banku </w:t>
      </w:r>
      <w:r w:rsidR="00EB5354">
        <w:rPr>
          <w:rFonts w:ascii="Arial" w:hAnsi="Arial" w:cs="Arial"/>
          <w:sz w:val="20"/>
          <w:szCs w:val="20"/>
        </w:rPr>
        <w:t>bude</w:t>
      </w:r>
      <w:r w:rsidRPr="005F65A1">
        <w:rPr>
          <w:rFonts w:ascii="Arial" w:hAnsi="Arial" w:cs="Arial"/>
          <w:sz w:val="20"/>
          <w:szCs w:val="20"/>
        </w:rPr>
        <w:t xml:space="preserve"> nižší než kupní cena</w:t>
      </w:r>
      <w:r w:rsidR="00EB5354">
        <w:rPr>
          <w:rFonts w:ascii="Arial" w:hAnsi="Arial" w:cs="Arial"/>
          <w:sz w:val="20"/>
          <w:szCs w:val="20"/>
        </w:rPr>
        <w:t>, tudíž r</w:t>
      </w:r>
      <w:r w:rsidRPr="005F65A1">
        <w:rPr>
          <w:rFonts w:ascii="Arial" w:hAnsi="Arial" w:cs="Arial"/>
          <w:sz w:val="20"/>
          <w:szCs w:val="20"/>
        </w:rPr>
        <w:t xml:space="preserve">ozdíl </w:t>
      </w:r>
      <w:r w:rsidR="00EB5354" w:rsidRPr="005F65A1">
        <w:rPr>
          <w:rFonts w:ascii="Arial" w:hAnsi="Arial" w:cs="Arial"/>
          <w:sz w:val="20"/>
          <w:szCs w:val="20"/>
        </w:rPr>
        <w:t xml:space="preserve">musí </w:t>
      </w:r>
      <w:r w:rsidRPr="005F65A1">
        <w:rPr>
          <w:rFonts w:ascii="Arial" w:hAnsi="Arial" w:cs="Arial"/>
          <w:sz w:val="20"/>
          <w:szCs w:val="20"/>
        </w:rPr>
        <w:t>zájemce dodat z vlastních zdrojů.</w:t>
      </w:r>
    </w:p>
    <w:p w14:paraId="0A3821E8" w14:textId="77777777" w:rsidR="009D7AFB" w:rsidRDefault="009D7AFB" w:rsidP="005F65A1">
      <w:pPr>
        <w:jc w:val="both"/>
        <w:rPr>
          <w:rFonts w:ascii="Arial" w:hAnsi="Arial" w:cs="Arial"/>
          <w:sz w:val="20"/>
          <w:szCs w:val="20"/>
        </w:rPr>
      </w:pPr>
    </w:p>
    <w:p w14:paraId="0B7C0DC8" w14:textId="11A551FE" w:rsidR="00FB2241" w:rsidRPr="005F65A1" w:rsidRDefault="00FB2241" w:rsidP="005F65A1">
      <w:pPr>
        <w:jc w:val="both"/>
        <w:rPr>
          <w:rFonts w:ascii="Arial" w:hAnsi="Arial" w:cs="Arial"/>
          <w:sz w:val="20"/>
          <w:szCs w:val="20"/>
        </w:rPr>
      </w:pPr>
      <w:r>
        <w:rPr>
          <w:rFonts w:ascii="Arial" w:eastAsia="Times New Roman" w:hAnsi="Arial" w:cs="Arial"/>
          <w:noProof/>
          <w:sz w:val="20"/>
          <w:szCs w:val="20"/>
          <w:lang w:bidi="ar-SA"/>
        </w:rPr>
        <w:drawing>
          <wp:inline distT="0" distB="0" distL="0" distR="0" wp14:anchorId="312969B4" wp14:editId="666D7EC6">
            <wp:extent cx="6629400" cy="2381250"/>
            <wp:effectExtent l="0" t="0" r="0" b="0"/>
            <wp:docPr id="2" name="Obrázek 2" descr="C:\Users\tkunova\AppData\Local\Microsoft\Windows\INetCache\Content.Word\GRAF BC Index hypotecnich uveru - srpe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AppData\Local\Microsoft\Windows\INetCache\Content.Word\GRAF BC Index hypotecnich uveru - srpen 20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9400" cy="2381250"/>
                    </a:xfrm>
                    <a:prstGeom prst="rect">
                      <a:avLst/>
                    </a:prstGeom>
                    <a:noFill/>
                    <a:ln>
                      <a:noFill/>
                    </a:ln>
                  </pic:spPr>
                </pic:pic>
              </a:graphicData>
            </a:graphic>
          </wp:inline>
        </w:drawing>
      </w:r>
    </w:p>
    <w:p w14:paraId="3E0539A0" w14:textId="77777777" w:rsidR="00E32C50" w:rsidRDefault="00E32C50" w:rsidP="00EE3DAD">
      <w:pPr>
        <w:rPr>
          <w:rFonts w:ascii="Arial" w:eastAsia="Times New Roman" w:hAnsi="Arial" w:cs="Arial"/>
          <w:b/>
          <w:sz w:val="20"/>
          <w:szCs w:val="20"/>
        </w:rPr>
      </w:pPr>
    </w:p>
    <w:p w14:paraId="0F43D485" w14:textId="7E8BB9F0" w:rsidR="008957C5" w:rsidRDefault="008957C5" w:rsidP="008957C5">
      <w:pPr>
        <w:jc w:val="center"/>
        <w:rPr>
          <w:rFonts w:ascii="Arial" w:hAnsi="Arial" w:cs="Arial"/>
          <w:b/>
          <w:sz w:val="18"/>
          <w:szCs w:val="16"/>
        </w:rPr>
      </w:pPr>
    </w:p>
    <w:p w14:paraId="0EB712C0" w14:textId="2CAAFE9C" w:rsidR="00977B41" w:rsidRPr="00435115" w:rsidRDefault="00C947C0" w:rsidP="00435115">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4537B8D6" w14:textId="77777777" w:rsidR="00977B41" w:rsidRDefault="00977B41" w:rsidP="0073009C">
      <w:pPr>
        <w:jc w:val="both"/>
        <w:rPr>
          <w:rFonts w:ascii="Arial" w:hAnsi="Arial" w:cs="Arial"/>
          <w:b/>
          <w:sz w:val="18"/>
          <w:szCs w:val="20"/>
        </w:rPr>
      </w:pPr>
    </w:p>
    <w:p w14:paraId="2CF74334" w14:textId="3BC53127" w:rsidR="002019F3" w:rsidRDefault="002019F3"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30DEE248" w:rsidR="00833A44" w:rsidRDefault="00833A44" w:rsidP="00B27178">
      <w:pPr>
        <w:jc w:val="both"/>
      </w:pPr>
    </w:p>
    <w:p w14:paraId="3371DDD3" w14:textId="77777777" w:rsidR="00B37F41" w:rsidRPr="0025264B" w:rsidRDefault="00B37F41" w:rsidP="00B27178">
      <w:pPr>
        <w:jc w:val="both"/>
      </w:pPr>
    </w:p>
    <w:p w14:paraId="58F041AC" w14:textId="4EDC3CAC"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F5CC0" w14:textId="77777777" w:rsidR="00F0773E" w:rsidRDefault="00F0773E">
      <w:r>
        <w:separator/>
      </w:r>
    </w:p>
  </w:endnote>
  <w:endnote w:type="continuationSeparator" w:id="0">
    <w:p w14:paraId="06D59092" w14:textId="77777777" w:rsidR="00F0773E" w:rsidRDefault="00F07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0773E"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A0BC1"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0773E"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A0BC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0773E"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A0BC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AF244" w14:textId="77777777" w:rsidR="00F0773E" w:rsidRDefault="00F0773E">
      <w:r>
        <w:separator/>
      </w:r>
    </w:p>
  </w:footnote>
  <w:footnote w:type="continuationSeparator" w:id="0">
    <w:p w14:paraId="0DD0C89F" w14:textId="77777777" w:rsidR="00F0773E" w:rsidRDefault="00F07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13C6914A" w:rsidR="00B65A3B" w:rsidRDefault="009F2CEE" w:rsidP="009F2CEE">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PODÍLOVÝCH FONDŮ</w:t>
    </w:r>
  </w:p>
  <w:p w14:paraId="43C085E5" w14:textId="77777777" w:rsidR="000F4B6C" w:rsidRPr="00B65A3B" w:rsidRDefault="000F4B6C" w:rsidP="009F2CEE">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00A33F2F"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5D86"/>
    <w:rsid w:val="0005423A"/>
    <w:rsid w:val="000611E3"/>
    <w:rsid w:val="000766E7"/>
    <w:rsid w:val="00081616"/>
    <w:rsid w:val="0008331F"/>
    <w:rsid w:val="000851AC"/>
    <w:rsid w:val="000853D4"/>
    <w:rsid w:val="00096425"/>
    <w:rsid w:val="0009776B"/>
    <w:rsid w:val="000B187C"/>
    <w:rsid w:val="000D14E2"/>
    <w:rsid w:val="000D7158"/>
    <w:rsid w:val="000E01C2"/>
    <w:rsid w:val="000E19B2"/>
    <w:rsid w:val="000E3D86"/>
    <w:rsid w:val="000E6E14"/>
    <w:rsid w:val="000F4B6C"/>
    <w:rsid w:val="000F6249"/>
    <w:rsid w:val="001117DE"/>
    <w:rsid w:val="00111C28"/>
    <w:rsid w:val="001214E7"/>
    <w:rsid w:val="0013044E"/>
    <w:rsid w:val="00131A69"/>
    <w:rsid w:val="00136D8D"/>
    <w:rsid w:val="00137003"/>
    <w:rsid w:val="0013717C"/>
    <w:rsid w:val="00140987"/>
    <w:rsid w:val="001524FB"/>
    <w:rsid w:val="00156082"/>
    <w:rsid w:val="00160686"/>
    <w:rsid w:val="001675AF"/>
    <w:rsid w:val="00174317"/>
    <w:rsid w:val="001767A5"/>
    <w:rsid w:val="00192716"/>
    <w:rsid w:val="00194831"/>
    <w:rsid w:val="00194B5D"/>
    <w:rsid w:val="001A1A56"/>
    <w:rsid w:val="001A2D08"/>
    <w:rsid w:val="001A54DD"/>
    <w:rsid w:val="001B3B31"/>
    <w:rsid w:val="001B501B"/>
    <w:rsid w:val="001D015A"/>
    <w:rsid w:val="001D3DFC"/>
    <w:rsid w:val="001D5EFC"/>
    <w:rsid w:val="001E1597"/>
    <w:rsid w:val="001E4209"/>
    <w:rsid w:val="001F7194"/>
    <w:rsid w:val="001F71BA"/>
    <w:rsid w:val="002019F3"/>
    <w:rsid w:val="0020207A"/>
    <w:rsid w:val="002141AF"/>
    <w:rsid w:val="00220529"/>
    <w:rsid w:val="00223FFD"/>
    <w:rsid w:val="00224AF1"/>
    <w:rsid w:val="00224E6E"/>
    <w:rsid w:val="00225D70"/>
    <w:rsid w:val="00233BF3"/>
    <w:rsid w:val="002368F3"/>
    <w:rsid w:val="00241313"/>
    <w:rsid w:val="0024212A"/>
    <w:rsid w:val="0025080B"/>
    <w:rsid w:val="0025264B"/>
    <w:rsid w:val="0025428A"/>
    <w:rsid w:val="00257978"/>
    <w:rsid w:val="002619DC"/>
    <w:rsid w:val="00270DB3"/>
    <w:rsid w:val="00277D20"/>
    <w:rsid w:val="00280730"/>
    <w:rsid w:val="00281C61"/>
    <w:rsid w:val="00285767"/>
    <w:rsid w:val="002863CE"/>
    <w:rsid w:val="002A1185"/>
    <w:rsid w:val="002B2A94"/>
    <w:rsid w:val="002B6F4E"/>
    <w:rsid w:val="002C0E94"/>
    <w:rsid w:val="002D3534"/>
    <w:rsid w:val="002D49F7"/>
    <w:rsid w:val="002D64A2"/>
    <w:rsid w:val="002E0400"/>
    <w:rsid w:val="002F002B"/>
    <w:rsid w:val="002F485A"/>
    <w:rsid w:val="002F7EC2"/>
    <w:rsid w:val="003015E0"/>
    <w:rsid w:val="00303A6E"/>
    <w:rsid w:val="00307E95"/>
    <w:rsid w:val="00307FEB"/>
    <w:rsid w:val="003128F8"/>
    <w:rsid w:val="00322E5E"/>
    <w:rsid w:val="003247B0"/>
    <w:rsid w:val="00330918"/>
    <w:rsid w:val="003337A9"/>
    <w:rsid w:val="00340E70"/>
    <w:rsid w:val="00342F85"/>
    <w:rsid w:val="00347557"/>
    <w:rsid w:val="00355366"/>
    <w:rsid w:val="003629B6"/>
    <w:rsid w:val="003640C8"/>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4C5D"/>
    <w:rsid w:val="00435115"/>
    <w:rsid w:val="00445D0A"/>
    <w:rsid w:val="004540ED"/>
    <w:rsid w:val="00454843"/>
    <w:rsid w:val="004627B9"/>
    <w:rsid w:val="00473219"/>
    <w:rsid w:val="00477FFA"/>
    <w:rsid w:val="00481D66"/>
    <w:rsid w:val="00487B6B"/>
    <w:rsid w:val="004B5104"/>
    <w:rsid w:val="004B5797"/>
    <w:rsid w:val="004B64B3"/>
    <w:rsid w:val="004C0CEF"/>
    <w:rsid w:val="004C3F71"/>
    <w:rsid w:val="004D4D9F"/>
    <w:rsid w:val="0050659B"/>
    <w:rsid w:val="005153F7"/>
    <w:rsid w:val="0052216B"/>
    <w:rsid w:val="005224C1"/>
    <w:rsid w:val="005275F9"/>
    <w:rsid w:val="0053153F"/>
    <w:rsid w:val="00536954"/>
    <w:rsid w:val="00540606"/>
    <w:rsid w:val="00541870"/>
    <w:rsid w:val="005436EC"/>
    <w:rsid w:val="00544A37"/>
    <w:rsid w:val="005455B0"/>
    <w:rsid w:val="0055263D"/>
    <w:rsid w:val="00554574"/>
    <w:rsid w:val="0056150F"/>
    <w:rsid w:val="005729F4"/>
    <w:rsid w:val="005773B2"/>
    <w:rsid w:val="00577D19"/>
    <w:rsid w:val="0058062A"/>
    <w:rsid w:val="005834AE"/>
    <w:rsid w:val="005875EC"/>
    <w:rsid w:val="00590434"/>
    <w:rsid w:val="005A37E5"/>
    <w:rsid w:val="005A4497"/>
    <w:rsid w:val="005A5BBA"/>
    <w:rsid w:val="005A5F08"/>
    <w:rsid w:val="005B0E8E"/>
    <w:rsid w:val="005B31D7"/>
    <w:rsid w:val="005B5427"/>
    <w:rsid w:val="005D6963"/>
    <w:rsid w:val="005F65A1"/>
    <w:rsid w:val="00600788"/>
    <w:rsid w:val="00612DC2"/>
    <w:rsid w:val="006135FD"/>
    <w:rsid w:val="006212F9"/>
    <w:rsid w:val="0062747C"/>
    <w:rsid w:val="0064160C"/>
    <w:rsid w:val="00656312"/>
    <w:rsid w:val="0066135D"/>
    <w:rsid w:val="00663C36"/>
    <w:rsid w:val="00667012"/>
    <w:rsid w:val="006768F0"/>
    <w:rsid w:val="00677078"/>
    <w:rsid w:val="00677C07"/>
    <w:rsid w:val="0068617E"/>
    <w:rsid w:val="00692610"/>
    <w:rsid w:val="006939E4"/>
    <w:rsid w:val="00693A07"/>
    <w:rsid w:val="00697A40"/>
    <w:rsid w:val="006A0BD0"/>
    <w:rsid w:val="006A150C"/>
    <w:rsid w:val="006A2F6C"/>
    <w:rsid w:val="006A3BE2"/>
    <w:rsid w:val="006B3CB5"/>
    <w:rsid w:val="006C61E8"/>
    <w:rsid w:val="006D1884"/>
    <w:rsid w:val="006D65EC"/>
    <w:rsid w:val="006E26DC"/>
    <w:rsid w:val="006E52B8"/>
    <w:rsid w:val="006F32FB"/>
    <w:rsid w:val="00705D83"/>
    <w:rsid w:val="0072112F"/>
    <w:rsid w:val="007253C3"/>
    <w:rsid w:val="00730047"/>
    <w:rsid w:val="0073009C"/>
    <w:rsid w:val="00731E05"/>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E5614"/>
    <w:rsid w:val="007F0754"/>
    <w:rsid w:val="007F515C"/>
    <w:rsid w:val="008104E0"/>
    <w:rsid w:val="0081387C"/>
    <w:rsid w:val="0083053E"/>
    <w:rsid w:val="00830CE8"/>
    <w:rsid w:val="00831B5E"/>
    <w:rsid w:val="0083338E"/>
    <w:rsid w:val="00833A44"/>
    <w:rsid w:val="00844420"/>
    <w:rsid w:val="00845A34"/>
    <w:rsid w:val="008769D5"/>
    <w:rsid w:val="00883A3E"/>
    <w:rsid w:val="00885B2F"/>
    <w:rsid w:val="008868A5"/>
    <w:rsid w:val="008926E5"/>
    <w:rsid w:val="008926F3"/>
    <w:rsid w:val="008957C5"/>
    <w:rsid w:val="008A04D3"/>
    <w:rsid w:val="008A0C76"/>
    <w:rsid w:val="008B05F2"/>
    <w:rsid w:val="008C1795"/>
    <w:rsid w:val="008C4B0D"/>
    <w:rsid w:val="008D1E94"/>
    <w:rsid w:val="008E19F3"/>
    <w:rsid w:val="008F4980"/>
    <w:rsid w:val="008F6AAF"/>
    <w:rsid w:val="00903020"/>
    <w:rsid w:val="00906176"/>
    <w:rsid w:val="00906E67"/>
    <w:rsid w:val="00915ADA"/>
    <w:rsid w:val="009222C9"/>
    <w:rsid w:val="00932625"/>
    <w:rsid w:val="009344C2"/>
    <w:rsid w:val="0093538A"/>
    <w:rsid w:val="0094705C"/>
    <w:rsid w:val="00957B41"/>
    <w:rsid w:val="009644A2"/>
    <w:rsid w:val="00967162"/>
    <w:rsid w:val="00974A97"/>
    <w:rsid w:val="00977B41"/>
    <w:rsid w:val="00982987"/>
    <w:rsid w:val="009A69B1"/>
    <w:rsid w:val="009B52C2"/>
    <w:rsid w:val="009C0ECA"/>
    <w:rsid w:val="009C45BA"/>
    <w:rsid w:val="009D7AFB"/>
    <w:rsid w:val="009E2833"/>
    <w:rsid w:val="009E317D"/>
    <w:rsid w:val="009E3B52"/>
    <w:rsid w:val="009E3D89"/>
    <w:rsid w:val="009F2CB2"/>
    <w:rsid w:val="009F2CEE"/>
    <w:rsid w:val="009F59EE"/>
    <w:rsid w:val="00A069E2"/>
    <w:rsid w:val="00A11C90"/>
    <w:rsid w:val="00A25B10"/>
    <w:rsid w:val="00A36D79"/>
    <w:rsid w:val="00A4618A"/>
    <w:rsid w:val="00A5429B"/>
    <w:rsid w:val="00A62CCA"/>
    <w:rsid w:val="00A719A5"/>
    <w:rsid w:val="00A7372B"/>
    <w:rsid w:val="00A7509B"/>
    <w:rsid w:val="00A7796E"/>
    <w:rsid w:val="00A77F44"/>
    <w:rsid w:val="00A93638"/>
    <w:rsid w:val="00AA218A"/>
    <w:rsid w:val="00AB3D30"/>
    <w:rsid w:val="00AC614D"/>
    <w:rsid w:val="00AC7F1C"/>
    <w:rsid w:val="00AE44CB"/>
    <w:rsid w:val="00B11974"/>
    <w:rsid w:val="00B12CF8"/>
    <w:rsid w:val="00B15519"/>
    <w:rsid w:val="00B244B9"/>
    <w:rsid w:val="00B27178"/>
    <w:rsid w:val="00B30A9E"/>
    <w:rsid w:val="00B3265A"/>
    <w:rsid w:val="00B36901"/>
    <w:rsid w:val="00B37F41"/>
    <w:rsid w:val="00B43ABC"/>
    <w:rsid w:val="00B470FB"/>
    <w:rsid w:val="00B51125"/>
    <w:rsid w:val="00B52CDF"/>
    <w:rsid w:val="00B65A3B"/>
    <w:rsid w:val="00B72652"/>
    <w:rsid w:val="00B815A3"/>
    <w:rsid w:val="00B94777"/>
    <w:rsid w:val="00B95BB2"/>
    <w:rsid w:val="00B95EBA"/>
    <w:rsid w:val="00BA0BC1"/>
    <w:rsid w:val="00BA1D82"/>
    <w:rsid w:val="00BA1FA3"/>
    <w:rsid w:val="00BA23D8"/>
    <w:rsid w:val="00BB4D49"/>
    <w:rsid w:val="00BB51F4"/>
    <w:rsid w:val="00BB58F0"/>
    <w:rsid w:val="00BB6439"/>
    <w:rsid w:val="00BB675F"/>
    <w:rsid w:val="00BD17B0"/>
    <w:rsid w:val="00BD3715"/>
    <w:rsid w:val="00BD5A47"/>
    <w:rsid w:val="00BD6E76"/>
    <w:rsid w:val="00BF4092"/>
    <w:rsid w:val="00C05CCC"/>
    <w:rsid w:val="00C07F35"/>
    <w:rsid w:val="00C23E32"/>
    <w:rsid w:val="00C31E67"/>
    <w:rsid w:val="00C33A4A"/>
    <w:rsid w:val="00C42FAF"/>
    <w:rsid w:val="00C52DA0"/>
    <w:rsid w:val="00C864DC"/>
    <w:rsid w:val="00C908E5"/>
    <w:rsid w:val="00C9156E"/>
    <w:rsid w:val="00C947C0"/>
    <w:rsid w:val="00CA1722"/>
    <w:rsid w:val="00CA7CAF"/>
    <w:rsid w:val="00CB06F8"/>
    <w:rsid w:val="00CB18B1"/>
    <w:rsid w:val="00CB38CA"/>
    <w:rsid w:val="00CB6F2B"/>
    <w:rsid w:val="00CB7254"/>
    <w:rsid w:val="00CC0CB0"/>
    <w:rsid w:val="00CC1067"/>
    <w:rsid w:val="00CD3324"/>
    <w:rsid w:val="00CD46EA"/>
    <w:rsid w:val="00CE6C6E"/>
    <w:rsid w:val="00CE76FD"/>
    <w:rsid w:val="00D01832"/>
    <w:rsid w:val="00D07AA2"/>
    <w:rsid w:val="00D21C96"/>
    <w:rsid w:val="00D30854"/>
    <w:rsid w:val="00D31127"/>
    <w:rsid w:val="00D3359F"/>
    <w:rsid w:val="00D47B55"/>
    <w:rsid w:val="00D50703"/>
    <w:rsid w:val="00D53E59"/>
    <w:rsid w:val="00D60444"/>
    <w:rsid w:val="00D60D98"/>
    <w:rsid w:val="00D71EA0"/>
    <w:rsid w:val="00D721F1"/>
    <w:rsid w:val="00D73F33"/>
    <w:rsid w:val="00D80B6D"/>
    <w:rsid w:val="00D80F78"/>
    <w:rsid w:val="00D84488"/>
    <w:rsid w:val="00D844C8"/>
    <w:rsid w:val="00D8513A"/>
    <w:rsid w:val="00D85BBB"/>
    <w:rsid w:val="00D943AD"/>
    <w:rsid w:val="00D9690A"/>
    <w:rsid w:val="00DA7B87"/>
    <w:rsid w:val="00DB0343"/>
    <w:rsid w:val="00DB63D9"/>
    <w:rsid w:val="00DB7121"/>
    <w:rsid w:val="00DB7E77"/>
    <w:rsid w:val="00DC0BD6"/>
    <w:rsid w:val="00DC0F17"/>
    <w:rsid w:val="00DC30D0"/>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1433"/>
    <w:rsid w:val="00E81C95"/>
    <w:rsid w:val="00E845C0"/>
    <w:rsid w:val="00E852A3"/>
    <w:rsid w:val="00E93103"/>
    <w:rsid w:val="00EA0C1C"/>
    <w:rsid w:val="00EA477A"/>
    <w:rsid w:val="00EA5D92"/>
    <w:rsid w:val="00EB5354"/>
    <w:rsid w:val="00EC3779"/>
    <w:rsid w:val="00EC7F0E"/>
    <w:rsid w:val="00ED2D1F"/>
    <w:rsid w:val="00ED58E9"/>
    <w:rsid w:val="00ED79D6"/>
    <w:rsid w:val="00EE1831"/>
    <w:rsid w:val="00EE3DAD"/>
    <w:rsid w:val="00EF2F7C"/>
    <w:rsid w:val="00F00A40"/>
    <w:rsid w:val="00F0773E"/>
    <w:rsid w:val="00F14982"/>
    <w:rsid w:val="00F2598D"/>
    <w:rsid w:val="00F32739"/>
    <w:rsid w:val="00F336A2"/>
    <w:rsid w:val="00F44AEB"/>
    <w:rsid w:val="00F45620"/>
    <w:rsid w:val="00F5304D"/>
    <w:rsid w:val="00F532E2"/>
    <w:rsid w:val="00F5470D"/>
    <w:rsid w:val="00F7277F"/>
    <w:rsid w:val="00F72E32"/>
    <w:rsid w:val="00F829B7"/>
    <w:rsid w:val="00F84A4F"/>
    <w:rsid w:val="00F9173C"/>
    <w:rsid w:val="00F975AD"/>
    <w:rsid w:val="00FB18D0"/>
    <w:rsid w:val="00FB2241"/>
    <w:rsid w:val="00FB2315"/>
    <w:rsid w:val="00FB2ED6"/>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C7F7A-5FD5-4383-8CC3-7FDAB79D1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3</Pages>
  <Words>863</Words>
  <Characters>5098</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41</cp:revision>
  <dcterms:created xsi:type="dcterms:W3CDTF">2021-05-12T12:49:00Z</dcterms:created>
  <dcterms:modified xsi:type="dcterms:W3CDTF">2021-09-15T14:30:00Z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