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506B4633" w14:textId="00222498" w:rsidR="00D80B6D" w:rsidRPr="00491445" w:rsidRDefault="00D80B6D" w:rsidP="00D80B6D">
          <w:pPr>
            <w:spacing w:before="230"/>
            <w:ind w:left="165"/>
            <w:jc w:val="center"/>
            <w:rPr>
              <w:rFonts w:ascii="Arial" w:hAnsi="Arial" w:cs="Arial"/>
              <w:color w:val="CD1719"/>
              <w:sz w:val="24"/>
            </w:rPr>
          </w:pPr>
          <w:r w:rsidRPr="00F040CA">
            <w:rPr>
              <w:rFonts w:ascii="Arial" w:hAnsi="Arial" w:cs="Arial"/>
              <w:color w:val="1D1D1B"/>
              <w:sz w:val="24"/>
            </w:rPr>
            <w:t>INDEX PODÍLOVÝCH FONDŮ</w:t>
          </w:r>
          <w:r w:rsidRPr="00491445">
            <w:rPr>
              <w:rFonts w:ascii="Arial" w:hAnsi="Arial" w:cs="Arial"/>
              <w:color w:val="1D1D1B"/>
              <w:sz w:val="24"/>
            </w:rPr>
            <w:t xml:space="preserve">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0929CA3B" w14:textId="38E28EC5" w:rsidR="00D80B6D" w:rsidRPr="00491445" w:rsidRDefault="00D80B6D" w:rsidP="002238B0">
          <w:pPr>
            <w:spacing w:before="240" w:line="288" w:lineRule="exact"/>
            <w:ind w:left="162"/>
            <w:rPr>
              <w:rFonts w:ascii="Arial" w:hAnsi="Arial" w:cs="Arial"/>
              <w:sz w:val="24"/>
            </w:rPr>
          </w:pPr>
        </w:p>
        <w:p w14:paraId="234000C4" w14:textId="77777777" w:rsidR="00D80B6D" w:rsidRDefault="00D80B6D" w:rsidP="00D80B6D">
          <w:pPr>
            <w:pStyle w:val="Zkladntext"/>
            <w:spacing w:before="240"/>
            <w:rPr>
              <w:sz w:val="20"/>
            </w:rPr>
          </w:pPr>
        </w:p>
        <w:p w14:paraId="696A360B" w14:textId="77777777" w:rsidR="00D80B6D" w:rsidRDefault="00D80B6D" w:rsidP="002238B0">
          <w:pPr>
            <w:pStyle w:val="Zkladntext"/>
            <w:spacing w:before="240"/>
            <w:jc w:val="center"/>
            <w:rPr>
              <w:sz w:val="20"/>
            </w:rPr>
          </w:pP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77777777" w:rsidR="00C64B40" w:rsidRDefault="00C64B40"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24DF60CD"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w:t>
          </w:r>
          <w:r w:rsidR="0027474A">
            <w:rPr>
              <w:rFonts w:ascii="Arial" w:hAnsi="Arial" w:cs="Arial"/>
              <w:sz w:val="18"/>
            </w:rPr>
            <w:t xml:space="preserve">42 </w:t>
          </w:r>
          <w:r>
            <w:rPr>
              <w:rFonts w:ascii="Arial" w:hAnsi="Arial" w:cs="Arial"/>
              <w:sz w:val="18"/>
            </w:rPr>
            <w:t>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1C147F"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49C2CD87" w14:textId="77777777" w:rsidR="00DA576C" w:rsidRDefault="00DA576C" w:rsidP="00673898">
      <w:pPr>
        <w:jc w:val="center"/>
        <w:rPr>
          <w:rFonts w:ascii="Arial" w:hAnsi="Arial" w:cs="Arial"/>
          <w:b/>
          <w:sz w:val="32"/>
          <w:szCs w:val="32"/>
        </w:rPr>
      </w:pPr>
    </w:p>
    <w:p w14:paraId="5A0592DB" w14:textId="1D0ECE1A" w:rsidR="00A672EA" w:rsidRPr="00FA0F28" w:rsidRDefault="00156450" w:rsidP="00156450">
      <w:pPr>
        <w:jc w:val="center"/>
        <w:rPr>
          <w:rFonts w:ascii="Arial" w:hAnsi="Arial" w:cs="Arial"/>
          <w:b/>
          <w:sz w:val="32"/>
          <w:szCs w:val="32"/>
        </w:rPr>
      </w:pPr>
      <w:r>
        <w:rPr>
          <w:rFonts w:ascii="Arial" w:hAnsi="Arial" w:cs="Arial"/>
          <w:b/>
          <w:sz w:val="32"/>
          <w:szCs w:val="32"/>
        </w:rPr>
        <w:t xml:space="preserve">Hodnota POVIndexu se i přes mírný nárůst v prvním prázdninovém měsíci nadále drží </w:t>
      </w:r>
      <w:r w:rsidR="00763554">
        <w:rPr>
          <w:rFonts w:ascii="Arial" w:hAnsi="Arial" w:cs="Arial"/>
          <w:b/>
          <w:sz w:val="32"/>
          <w:szCs w:val="32"/>
        </w:rPr>
        <w:t>pod dlouhod</w:t>
      </w:r>
      <w:r>
        <w:rPr>
          <w:rFonts w:ascii="Arial" w:hAnsi="Arial" w:cs="Arial"/>
          <w:b/>
          <w:sz w:val="32"/>
          <w:szCs w:val="32"/>
        </w:rPr>
        <w:t>obým průměrem</w:t>
      </w:r>
    </w:p>
    <w:p w14:paraId="6DC31EB0" w14:textId="5446F0EC" w:rsidR="00DB365A" w:rsidRPr="00B777C3" w:rsidRDefault="00DB365A" w:rsidP="00F37E08">
      <w:pPr>
        <w:rPr>
          <w:rFonts w:ascii="Arial" w:hAnsi="Arial" w:cs="Arial"/>
          <w:b/>
          <w:sz w:val="20"/>
          <w:szCs w:val="20"/>
        </w:rPr>
      </w:pPr>
    </w:p>
    <w:p w14:paraId="03A3768B" w14:textId="77777777" w:rsidR="00C306CA" w:rsidRDefault="00C306CA" w:rsidP="00AA1EF9">
      <w:pPr>
        <w:jc w:val="both"/>
        <w:rPr>
          <w:rFonts w:ascii="Arial" w:hAnsi="Arial" w:cs="Arial"/>
          <w:sz w:val="20"/>
          <w:szCs w:val="20"/>
        </w:rPr>
      </w:pPr>
    </w:p>
    <w:p w14:paraId="243DE4D8" w14:textId="66A929B4" w:rsidR="000B7F6C" w:rsidRDefault="002048EA" w:rsidP="00D45B0E">
      <w:pPr>
        <w:ind w:right="-11"/>
        <w:jc w:val="both"/>
        <w:rPr>
          <w:rFonts w:ascii="Arial" w:hAnsi="Arial" w:cs="Arial"/>
          <w:b/>
          <w:color w:val="000000" w:themeColor="text1"/>
          <w:sz w:val="20"/>
          <w:szCs w:val="20"/>
        </w:rPr>
      </w:pPr>
      <w:r>
        <w:rPr>
          <w:rFonts w:ascii="Arial" w:hAnsi="Arial" w:cs="Arial"/>
          <w:i/>
          <w:sz w:val="20"/>
          <w:szCs w:val="20"/>
        </w:rPr>
        <w:t xml:space="preserve">Praha, </w:t>
      </w:r>
      <w:r w:rsidR="00524214">
        <w:rPr>
          <w:rFonts w:ascii="Arial" w:hAnsi="Arial" w:cs="Arial"/>
          <w:i/>
          <w:sz w:val="20"/>
          <w:szCs w:val="20"/>
        </w:rPr>
        <w:t>2</w:t>
      </w:r>
      <w:r w:rsidR="002462DA">
        <w:rPr>
          <w:rFonts w:ascii="Arial" w:hAnsi="Arial" w:cs="Arial"/>
          <w:i/>
          <w:sz w:val="20"/>
          <w:szCs w:val="20"/>
        </w:rPr>
        <w:t>5</w:t>
      </w:r>
      <w:r w:rsidR="00524214">
        <w:rPr>
          <w:rFonts w:ascii="Arial" w:hAnsi="Arial" w:cs="Arial"/>
          <w:i/>
          <w:sz w:val="20"/>
          <w:szCs w:val="20"/>
        </w:rPr>
        <w:t>. srpna</w:t>
      </w:r>
      <w:r w:rsidR="008C3AC7" w:rsidRPr="006863D8">
        <w:rPr>
          <w:rFonts w:ascii="Arial" w:hAnsi="Arial" w:cs="Arial"/>
          <w:i/>
          <w:sz w:val="20"/>
          <w:szCs w:val="20"/>
        </w:rPr>
        <w:t xml:space="preserve"> 2021</w:t>
      </w:r>
      <w:r w:rsidR="0018139F" w:rsidRPr="0018139F">
        <w:rPr>
          <w:rFonts w:ascii="Arial" w:hAnsi="Arial" w:cs="Arial"/>
          <w:color w:val="000000" w:themeColor="text1"/>
          <w:sz w:val="20"/>
          <w:szCs w:val="20"/>
        </w:rPr>
        <w:t xml:space="preserve"> </w:t>
      </w:r>
      <w:r w:rsidR="00E400AA">
        <w:rPr>
          <w:rFonts w:ascii="Arial" w:hAnsi="Arial" w:cs="Arial"/>
          <w:color w:val="000000" w:themeColor="text1"/>
          <w:sz w:val="20"/>
          <w:szCs w:val="20"/>
        </w:rPr>
        <w:t>–</w:t>
      </w:r>
      <w:r w:rsidR="0018139F" w:rsidRPr="00076845">
        <w:rPr>
          <w:rFonts w:ascii="Arial" w:hAnsi="Arial" w:cs="Arial"/>
          <w:b/>
          <w:color w:val="000000" w:themeColor="text1"/>
          <w:sz w:val="20"/>
          <w:szCs w:val="20"/>
        </w:rPr>
        <w:t xml:space="preserve"> </w:t>
      </w:r>
      <w:r w:rsidR="00156450">
        <w:rPr>
          <w:rFonts w:ascii="Arial" w:hAnsi="Arial" w:cs="Arial"/>
          <w:b/>
          <w:color w:val="000000" w:themeColor="text1"/>
          <w:sz w:val="20"/>
          <w:szCs w:val="20"/>
        </w:rPr>
        <w:t xml:space="preserve">Červencové výsledky </w:t>
      </w:r>
      <w:r w:rsidR="00156450" w:rsidRPr="004C4033">
        <w:rPr>
          <w:rFonts w:ascii="Arial" w:hAnsi="Arial" w:cs="Arial"/>
          <w:b/>
          <w:color w:val="000000" w:themeColor="text1"/>
          <w:sz w:val="20"/>
          <w:szCs w:val="20"/>
        </w:rPr>
        <w:t>Broker Consulting POVIndexu</w:t>
      </w:r>
      <w:r w:rsidR="00156450">
        <w:rPr>
          <w:rFonts w:ascii="Arial" w:hAnsi="Arial" w:cs="Arial"/>
          <w:b/>
          <w:color w:val="000000" w:themeColor="text1"/>
          <w:sz w:val="20"/>
          <w:szCs w:val="20"/>
        </w:rPr>
        <w:t xml:space="preserve"> ukázaly</w:t>
      </w:r>
      <w:r w:rsidR="000B7F6C">
        <w:rPr>
          <w:rFonts w:ascii="Arial" w:hAnsi="Arial" w:cs="Arial"/>
          <w:b/>
          <w:color w:val="000000" w:themeColor="text1"/>
          <w:sz w:val="20"/>
          <w:szCs w:val="20"/>
        </w:rPr>
        <w:t xml:space="preserve">, že jeho hodnota meziměsíčně </w:t>
      </w:r>
      <w:r w:rsidR="00DF4C4D">
        <w:rPr>
          <w:rFonts w:ascii="Arial" w:hAnsi="Arial" w:cs="Arial"/>
          <w:b/>
          <w:color w:val="000000" w:themeColor="text1"/>
          <w:sz w:val="20"/>
          <w:szCs w:val="20"/>
        </w:rPr>
        <w:t>vzrostla</w:t>
      </w:r>
      <w:r w:rsidR="000B7F6C">
        <w:rPr>
          <w:rFonts w:ascii="Arial" w:hAnsi="Arial" w:cs="Arial"/>
          <w:b/>
          <w:color w:val="000000" w:themeColor="text1"/>
          <w:sz w:val="20"/>
          <w:szCs w:val="20"/>
        </w:rPr>
        <w:t xml:space="preserve"> o 53 korun na 6 4</w:t>
      </w:r>
      <w:r w:rsidR="00DE4608">
        <w:rPr>
          <w:rFonts w:ascii="Arial" w:hAnsi="Arial" w:cs="Arial"/>
          <w:b/>
          <w:color w:val="000000" w:themeColor="text1"/>
          <w:sz w:val="20"/>
          <w:szCs w:val="20"/>
        </w:rPr>
        <w:t>84</w:t>
      </w:r>
      <w:r w:rsidR="000B7F6C">
        <w:rPr>
          <w:rFonts w:ascii="Arial" w:hAnsi="Arial" w:cs="Arial"/>
          <w:b/>
          <w:color w:val="000000" w:themeColor="text1"/>
          <w:sz w:val="20"/>
          <w:szCs w:val="20"/>
        </w:rPr>
        <w:t xml:space="preserve"> korun. Navzdory tomuto mírnému zdražení vychází současné povinné ručení z dlouhodobého pohledu stále výrazně levněji než v minulosti. Ve stejném období minulého roku byla hodnota POVIndexu o 94 korun vyšší, jeho dlouhodobá průměrná hodnota </w:t>
      </w:r>
      <w:r w:rsidR="00DF4C4D">
        <w:rPr>
          <w:rFonts w:ascii="Arial" w:hAnsi="Arial" w:cs="Arial"/>
          <w:b/>
          <w:color w:val="000000" w:themeColor="text1"/>
          <w:sz w:val="20"/>
          <w:szCs w:val="20"/>
        </w:rPr>
        <w:t>je dokonce vyšší o</w:t>
      </w:r>
      <w:r w:rsidR="000B7F6C">
        <w:rPr>
          <w:rFonts w:ascii="Arial" w:hAnsi="Arial" w:cs="Arial"/>
          <w:b/>
          <w:color w:val="000000" w:themeColor="text1"/>
          <w:sz w:val="20"/>
          <w:szCs w:val="20"/>
        </w:rPr>
        <w:t xml:space="preserve"> 332 korun.</w:t>
      </w:r>
    </w:p>
    <w:p w14:paraId="084F8A79" w14:textId="7580F4A1" w:rsidR="00FB7593" w:rsidRPr="002048EA" w:rsidRDefault="000B7F6C" w:rsidP="00D45B0E">
      <w:pPr>
        <w:ind w:right="-11"/>
        <w:jc w:val="both"/>
        <w:rPr>
          <w:rFonts w:ascii="Arial" w:hAnsi="Arial" w:cs="Arial"/>
          <w:i/>
          <w:sz w:val="20"/>
          <w:szCs w:val="20"/>
        </w:rPr>
      </w:pPr>
      <w:r>
        <w:rPr>
          <w:rFonts w:ascii="Arial" w:hAnsi="Arial" w:cs="Arial"/>
          <w:b/>
          <w:color w:val="000000" w:themeColor="text1"/>
          <w:sz w:val="20"/>
          <w:szCs w:val="20"/>
        </w:rPr>
        <w:t xml:space="preserve">  </w:t>
      </w:r>
    </w:p>
    <w:p w14:paraId="3F6961CE" w14:textId="73862DA9" w:rsidR="00FB7593" w:rsidRDefault="00DF4C4D" w:rsidP="00D45B0E">
      <w:pPr>
        <w:ind w:right="-11"/>
        <w:jc w:val="both"/>
        <w:rPr>
          <w:rFonts w:ascii="Arial" w:hAnsi="Arial" w:cs="Arial"/>
          <w:i/>
          <w:sz w:val="20"/>
          <w:szCs w:val="20"/>
        </w:rPr>
      </w:pPr>
      <w:r>
        <w:rPr>
          <w:rFonts w:ascii="Arial" w:hAnsi="Arial" w:cs="Arial"/>
          <w:i/>
          <w:sz w:val="20"/>
          <w:szCs w:val="20"/>
        </w:rPr>
        <w:t>„</w:t>
      </w:r>
      <w:r w:rsidR="007F68DC" w:rsidRPr="00BE02AD">
        <w:rPr>
          <w:rFonts w:ascii="Arial" w:hAnsi="Arial" w:cs="Arial"/>
          <w:i/>
          <w:sz w:val="20"/>
          <w:szCs w:val="20"/>
        </w:rPr>
        <w:t xml:space="preserve">Letní období bývá na trhu s povinným ručením tradičně klidnější, o čemž vypovídá i hodnota našeho indexu, která </w:t>
      </w:r>
      <w:r w:rsidR="00BE02AD" w:rsidRPr="00BE02AD">
        <w:rPr>
          <w:rFonts w:ascii="Arial" w:hAnsi="Arial" w:cs="Arial"/>
          <w:i/>
          <w:sz w:val="20"/>
          <w:szCs w:val="20"/>
        </w:rPr>
        <w:t>oproti červnu zaznamenala jen minimální nárůst. O to větší rozdíl však zůstává mezi cenou povinného ručení v jednotlivých regionech. V</w:t>
      </w:r>
      <w:r w:rsidR="00BE02AD" w:rsidRPr="00763554">
        <w:rPr>
          <w:rFonts w:ascii="Arial" w:hAnsi="Arial" w:cs="Arial"/>
          <w:i/>
          <w:sz w:val="20"/>
          <w:szCs w:val="20"/>
        </w:rPr>
        <w:t xml:space="preserve"> Praze </w:t>
      </w:r>
      <w:r w:rsidR="00BE02AD">
        <w:rPr>
          <w:rFonts w:ascii="Arial" w:hAnsi="Arial" w:cs="Arial"/>
          <w:i/>
          <w:sz w:val="20"/>
          <w:szCs w:val="20"/>
        </w:rPr>
        <w:t xml:space="preserve">vyjde povinné ručení v průměru </w:t>
      </w:r>
      <w:r w:rsidR="00BE02AD" w:rsidRPr="00763554">
        <w:rPr>
          <w:rFonts w:ascii="Arial" w:hAnsi="Arial" w:cs="Arial"/>
          <w:i/>
          <w:sz w:val="20"/>
          <w:szCs w:val="20"/>
        </w:rPr>
        <w:t xml:space="preserve">o 9,8 % </w:t>
      </w:r>
      <w:r w:rsidR="00BE02AD">
        <w:rPr>
          <w:rFonts w:ascii="Arial" w:hAnsi="Arial" w:cs="Arial"/>
          <w:i/>
          <w:sz w:val="20"/>
          <w:szCs w:val="20"/>
        </w:rPr>
        <w:t xml:space="preserve">dráž, </w:t>
      </w:r>
      <w:r w:rsidR="00BE02AD" w:rsidRPr="00763554">
        <w:rPr>
          <w:rFonts w:ascii="Arial" w:hAnsi="Arial" w:cs="Arial"/>
          <w:i/>
          <w:sz w:val="20"/>
          <w:szCs w:val="20"/>
        </w:rPr>
        <w:t xml:space="preserve">zatímco ve městech </w:t>
      </w:r>
      <w:r w:rsidR="00BE02AD">
        <w:rPr>
          <w:rFonts w:ascii="Arial" w:hAnsi="Arial" w:cs="Arial"/>
          <w:i/>
          <w:sz w:val="20"/>
          <w:szCs w:val="20"/>
        </w:rPr>
        <w:t xml:space="preserve">o </w:t>
      </w:r>
      <w:r w:rsidR="00BE02AD" w:rsidRPr="00763554">
        <w:rPr>
          <w:rFonts w:ascii="Arial" w:hAnsi="Arial" w:cs="Arial"/>
          <w:i/>
          <w:sz w:val="20"/>
          <w:szCs w:val="20"/>
        </w:rPr>
        <w:t>velik</w:t>
      </w:r>
      <w:r w:rsidR="00BE02AD">
        <w:rPr>
          <w:rFonts w:ascii="Arial" w:hAnsi="Arial" w:cs="Arial"/>
          <w:i/>
          <w:sz w:val="20"/>
          <w:szCs w:val="20"/>
        </w:rPr>
        <w:t>osti Benešova řidiči naopak ušetří 12,2</w:t>
      </w:r>
      <w:r w:rsidR="00BE02AD" w:rsidRPr="00763554">
        <w:rPr>
          <w:rFonts w:ascii="Arial" w:hAnsi="Arial" w:cs="Arial"/>
          <w:i/>
          <w:sz w:val="20"/>
          <w:szCs w:val="20"/>
        </w:rPr>
        <w:t xml:space="preserve"> </w:t>
      </w:r>
      <w:r w:rsidR="00BE02AD">
        <w:rPr>
          <w:rFonts w:ascii="Arial" w:hAnsi="Arial" w:cs="Arial"/>
          <w:i/>
          <w:sz w:val="20"/>
          <w:szCs w:val="20"/>
        </w:rPr>
        <w:t>%,</w:t>
      </w:r>
      <w:r>
        <w:rPr>
          <w:rFonts w:ascii="Arial" w:hAnsi="Arial" w:cs="Arial"/>
          <w:i/>
          <w:sz w:val="20"/>
          <w:szCs w:val="20"/>
        </w:rPr>
        <w:t>“</w:t>
      </w:r>
      <w:r w:rsidR="00BE02AD">
        <w:rPr>
          <w:rFonts w:ascii="Arial" w:hAnsi="Arial" w:cs="Arial"/>
          <w:i/>
          <w:sz w:val="20"/>
          <w:szCs w:val="20"/>
        </w:rPr>
        <w:t xml:space="preserve"> </w:t>
      </w:r>
      <w:r w:rsidR="00D45B0E">
        <w:rPr>
          <w:rFonts w:ascii="Arial" w:hAnsi="Arial" w:cs="Arial"/>
          <w:sz w:val="20"/>
          <w:szCs w:val="20"/>
        </w:rPr>
        <w:t>uvádí</w:t>
      </w:r>
      <w:r w:rsidR="00BE02AD">
        <w:rPr>
          <w:rFonts w:ascii="Arial" w:hAnsi="Arial" w:cs="Arial"/>
          <w:i/>
          <w:sz w:val="20"/>
          <w:szCs w:val="20"/>
        </w:rPr>
        <w:t xml:space="preserve"> </w:t>
      </w:r>
      <w:r w:rsidR="00BE02AD" w:rsidRPr="005901C2">
        <w:rPr>
          <w:rFonts w:ascii="Arial" w:hAnsi="Arial" w:cs="Arial"/>
          <w:b/>
          <w:sz w:val="20"/>
          <w:szCs w:val="20"/>
        </w:rPr>
        <w:t>Jiří Váchal, analytik neživotního pojištění Broker Consulting</w:t>
      </w:r>
      <w:r w:rsidR="00BE02AD">
        <w:rPr>
          <w:rFonts w:ascii="Arial" w:hAnsi="Arial" w:cs="Arial"/>
          <w:i/>
          <w:sz w:val="20"/>
          <w:szCs w:val="20"/>
        </w:rPr>
        <w:t>.</w:t>
      </w:r>
    </w:p>
    <w:p w14:paraId="490A4F32" w14:textId="77777777" w:rsidR="00BE02AD" w:rsidRPr="00BE02AD" w:rsidRDefault="00BE02AD" w:rsidP="00D45B0E">
      <w:pPr>
        <w:ind w:right="-11"/>
        <w:jc w:val="both"/>
        <w:rPr>
          <w:rFonts w:ascii="Arial" w:hAnsi="Arial" w:cs="Arial"/>
          <w:i/>
          <w:sz w:val="20"/>
          <w:szCs w:val="20"/>
        </w:rPr>
      </w:pPr>
    </w:p>
    <w:p w14:paraId="7095B5C0" w14:textId="189C4FFC" w:rsidR="00AA1EF9" w:rsidRPr="00116A29" w:rsidRDefault="00495519" w:rsidP="00D45B0E">
      <w:pPr>
        <w:ind w:right="-11"/>
        <w:jc w:val="both"/>
        <w:rPr>
          <w:rFonts w:ascii="Arial" w:hAnsi="Arial" w:cs="Arial"/>
          <w:b/>
          <w:color w:val="000000" w:themeColor="text1"/>
          <w:sz w:val="20"/>
          <w:szCs w:val="20"/>
        </w:rPr>
      </w:pPr>
      <w:r w:rsidRPr="006618CF">
        <w:rPr>
          <w:rFonts w:ascii="Arial" w:hAnsi="Arial" w:cs="Arial"/>
          <w:sz w:val="20"/>
          <w:szCs w:val="20"/>
        </w:rPr>
        <w:t>V</w:t>
      </w:r>
      <w:r w:rsidR="00BE02AD">
        <w:rPr>
          <w:rFonts w:ascii="Arial" w:hAnsi="Arial" w:cs="Arial"/>
          <w:sz w:val="20"/>
          <w:szCs w:val="20"/>
        </w:rPr>
        <w:t xml:space="preserve"> </w:t>
      </w:r>
      <w:r w:rsidRPr="006618CF">
        <w:rPr>
          <w:rFonts w:ascii="Arial" w:hAnsi="Arial" w:cs="Arial"/>
          <w:sz w:val="20"/>
          <w:szCs w:val="20"/>
        </w:rPr>
        <w:t xml:space="preserve">Praze </w:t>
      </w:r>
      <w:r w:rsidR="00BE02AD">
        <w:rPr>
          <w:rFonts w:ascii="Arial" w:hAnsi="Arial" w:cs="Arial"/>
          <w:sz w:val="20"/>
          <w:szCs w:val="20"/>
        </w:rPr>
        <w:t xml:space="preserve">bylo v červenci průměrné </w:t>
      </w:r>
      <w:r w:rsidRPr="006618CF">
        <w:rPr>
          <w:rFonts w:ascii="Arial" w:hAnsi="Arial" w:cs="Arial"/>
          <w:sz w:val="20"/>
          <w:szCs w:val="20"/>
        </w:rPr>
        <w:t xml:space="preserve">roční pojistné </w:t>
      </w:r>
      <w:r w:rsidR="00BE02AD">
        <w:rPr>
          <w:rFonts w:ascii="Arial" w:hAnsi="Arial" w:cs="Arial"/>
          <w:sz w:val="20"/>
          <w:szCs w:val="20"/>
        </w:rPr>
        <w:t xml:space="preserve">na sledovaný vůz </w:t>
      </w:r>
      <w:r w:rsidR="00DF4C4D">
        <w:rPr>
          <w:rFonts w:ascii="Arial" w:hAnsi="Arial" w:cs="Arial"/>
          <w:sz w:val="20"/>
          <w:szCs w:val="20"/>
        </w:rPr>
        <w:t>(</w:t>
      </w:r>
      <w:r w:rsidR="00BE02AD" w:rsidRPr="00116A29">
        <w:rPr>
          <w:rFonts w:ascii="Arial" w:hAnsi="Arial" w:cs="Arial"/>
          <w:bCs/>
          <w:sz w:val="20"/>
          <w:szCs w:val="20"/>
        </w:rPr>
        <w:t>Škoda Octavia 1,6 TDI</w:t>
      </w:r>
      <w:r w:rsidR="00DF4C4D">
        <w:rPr>
          <w:rFonts w:ascii="Arial" w:hAnsi="Arial" w:cs="Arial"/>
          <w:bCs/>
          <w:sz w:val="20"/>
          <w:szCs w:val="20"/>
        </w:rPr>
        <w:t>)</w:t>
      </w:r>
      <w:r w:rsidR="005E1D8B">
        <w:rPr>
          <w:rFonts w:ascii="Arial" w:hAnsi="Arial" w:cs="Arial"/>
          <w:sz w:val="20"/>
          <w:szCs w:val="20"/>
        </w:rPr>
        <w:t xml:space="preserve"> 7 192</w:t>
      </w:r>
      <w:r w:rsidR="00BE02AD">
        <w:rPr>
          <w:rFonts w:ascii="Arial" w:hAnsi="Arial" w:cs="Arial"/>
          <w:sz w:val="20"/>
          <w:szCs w:val="20"/>
        </w:rPr>
        <w:t xml:space="preserve"> korun</w:t>
      </w:r>
      <w:r w:rsidRPr="006618CF">
        <w:rPr>
          <w:rFonts w:ascii="Arial" w:hAnsi="Arial" w:cs="Arial"/>
          <w:sz w:val="20"/>
          <w:szCs w:val="20"/>
        </w:rPr>
        <w:t>, v případě Benešova</w:t>
      </w:r>
      <w:r w:rsidR="005E1D8B">
        <w:rPr>
          <w:rFonts w:ascii="Arial" w:hAnsi="Arial" w:cs="Arial"/>
          <w:sz w:val="20"/>
          <w:szCs w:val="20"/>
        </w:rPr>
        <w:t xml:space="preserve"> </w:t>
      </w:r>
      <w:r w:rsidR="008B6A2A">
        <w:rPr>
          <w:rFonts w:ascii="Arial" w:hAnsi="Arial" w:cs="Arial"/>
          <w:sz w:val="20"/>
          <w:szCs w:val="20"/>
        </w:rPr>
        <w:t>činilo</w:t>
      </w:r>
      <w:r w:rsidR="00116A29" w:rsidRPr="006618CF">
        <w:rPr>
          <w:rFonts w:ascii="Arial" w:hAnsi="Arial" w:cs="Arial"/>
          <w:sz w:val="20"/>
          <w:szCs w:val="20"/>
        </w:rPr>
        <w:t xml:space="preserve"> </w:t>
      </w:r>
      <w:r w:rsidR="005E1D8B">
        <w:rPr>
          <w:rFonts w:ascii="Arial" w:hAnsi="Arial" w:cs="Arial"/>
          <w:sz w:val="20"/>
          <w:szCs w:val="20"/>
        </w:rPr>
        <w:t>5</w:t>
      </w:r>
      <w:r w:rsidR="008B6A2A">
        <w:rPr>
          <w:rFonts w:ascii="Arial" w:hAnsi="Arial" w:cs="Arial"/>
          <w:sz w:val="20"/>
          <w:szCs w:val="20"/>
        </w:rPr>
        <w:t> </w:t>
      </w:r>
      <w:r w:rsidR="005E1D8B">
        <w:rPr>
          <w:rFonts w:ascii="Arial" w:hAnsi="Arial" w:cs="Arial"/>
          <w:sz w:val="20"/>
          <w:szCs w:val="20"/>
        </w:rPr>
        <w:t>777</w:t>
      </w:r>
      <w:r w:rsidR="008B6A2A">
        <w:rPr>
          <w:rFonts w:ascii="Arial" w:hAnsi="Arial" w:cs="Arial"/>
          <w:sz w:val="20"/>
          <w:szCs w:val="20"/>
        </w:rPr>
        <w:t xml:space="preserve"> korun</w:t>
      </w:r>
      <w:r w:rsidRPr="006618CF">
        <w:rPr>
          <w:rFonts w:ascii="Arial" w:hAnsi="Arial" w:cs="Arial"/>
          <w:sz w:val="20"/>
          <w:szCs w:val="20"/>
        </w:rPr>
        <w:t xml:space="preserve">. </w:t>
      </w:r>
      <w:r w:rsidR="009C0793" w:rsidRPr="006618CF">
        <w:rPr>
          <w:rFonts w:ascii="Arial" w:hAnsi="Arial" w:cs="Arial"/>
          <w:sz w:val="20"/>
          <w:szCs w:val="20"/>
        </w:rPr>
        <w:t>Minulý rok přitom řidič</w:t>
      </w:r>
      <w:r w:rsidR="00A51DB8" w:rsidRPr="006618CF">
        <w:rPr>
          <w:rFonts w:ascii="Arial" w:hAnsi="Arial" w:cs="Arial"/>
          <w:sz w:val="20"/>
          <w:szCs w:val="20"/>
        </w:rPr>
        <w:t>i</w:t>
      </w:r>
      <w:r w:rsidR="008B6A2A">
        <w:rPr>
          <w:rFonts w:ascii="Arial" w:hAnsi="Arial" w:cs="Arial"/>
          <w:sz w:val="20"/>
          <w:szCs w:val="20"/>
        </w:rPr>
        <w:t xml:space="preserve"> ve stejném měsíci</w:t>
      </w:r>
      <w:r w:rsidR="009C0793" w:rsidRPr="006618CF">
        <w:rPr>
          <w:rFonts w:ascii="Arial" w:hAnsi="Arial" w:cs="Arial"/>
          <w:sz w:val="20"/>
          <w:szCs w:val="20"/>
        </w:rPr>
        <w:t xml:space="preserve"> zaplatil</w:t>
      </w:r>
      <w:r w:rsidR="00A51DB8" w:rsidRPr="006618CF">
        <w:rPr>
          <w:rFonts w:ascii="Arial" w:hAnsi="Arial" w:cs="Arial"/>
          <w:sz w:val="20"/>
          <w:szCs w:val="20"/>
        </w:rPr>
        <w:t>i</w:t>
      </w:r>
      <w:r w:rsidR="009C0793" w:rsidRPr="006618CF">
        <w:rPr>
          <w:rFonts w:ascii="Arial" w:hAnsi="Arial" w:cs="Arial"/>
          <w:sz w:val="20"/>
          <w:szCs w:val="20"/>
        </w:rPr>
        <w:t xml:space="preserve"> v Praze </w:t>
      </w:r>
      <w:r w:rsidR="009C0793" w:rsidRPr="00B34562">
        <w:rPr>
          <w:rFonts w:ascii="Arial" w:hAnsi="Arial" w:cs="Arial"/>
          <w:sz w:val="20"/>
          <w:szCs w:val="20"/>
        </w:rPr>
        <w:t>7 </w:t>
      </w:r>
      <w:r w:rsidR="005E1D8B">
        <w:rPr>
          <w:rFonts w:ascii="Arial" w:hAnsi="Arial" w:cs="Arial"/>
          <w:sz w:val="20"/>
          <w:szCs w:val="20"/>
        </w:rPr>
        <w:t>440</w:t>
      </w:r>
      <w:r w:rsidR="009C0793" w:rsidRPr="00B34562">
        <w:rPr>
          <w:rFonts w:ascii="Arial" w:hAnsi="Arial" w:cs="Arial"/>
          <w:sz w:val="20"/>
          <w:szCs w:val="20"/>
        </w:rPr>
        <w:t xml:space="preserve"> </w:t>
      </w:r>
      <w:r w:rsidR="008B6A2A">
        <w:rPr>
          <w:rFonts w:ascii="Arial" w:hAnsi="Arial" w:cs="Arial"/>
          <w:sz w:val="20"/>
          <w:szCs w:val="20"/>
        </w:rPr>
        <w:t>korun</w:t>
      </w:r>
      <w:r w:rsidR="00E804FF" w:rsidRPr="006618CF">
        <w:rPr>
          <w:rFonts w:ascii="Arial" w:hAnsi="Arial" w:cs="Arial"/>
          <w:sz w:val="20"/>
          <w:szCs w:val="20"/>
        </w:rPr>
        <w:t xml:space="preserve"> a </w:t>
      </w:r>
      <w:r w:rsidR="009C0793" w:rsidRPr="006618CF">
        <w:rPr>
          <w:rFonts w:ascii="Arial" w:hAnsi="Arial" w:cs="Arial"/>
          <w:sz w:val="20"/>
          <w:szCs w:val="20"/>
        </w:rPr>
        <w:t>v </w:t>
      </w:r>
      <w:r w:rsidR="009C0793" w:rsidRPr="00B34562">
        <w:rPr>
          <w:rFonts w:ascii="Arial" w:hAnsi="Arial" w:cs="Arial"/>
          <w:sz w:val="20"/>
          <w:szCs w:val="20"/>
        </w:rPr>
        <w:t>Benešově 5 </w:t>
      </w:r>
      <w:r w:rsidR="00B34562">
        <w:rPr>
          <w:rFonts w:ascii="Arial" w:hAnsi="Arial" w:cs="Arial"/>
          <w:sz w:val="20"/>
          <w:szCs w:val="20"/>
        </w:rPr>
        <w:t>7</w:t>
      </w:r>
      <w:r w:rsidR="005E1D8B">
        <w:rPr>
          <w:rFonts w:ascii="Arial" w:hAnsi="Arial" w:cs="Arial"/>
          <w:sz w:val="20"/>
          <w:szCs w:val="20"/>
        </w:rPr>
        <w:t>16</w:t>
      </w:r>
      <w:r w:rsidR="008B6A2A">
        <w:rPr>
          <w:rFonts w:ascii="Arial" w:hAnsi="Arial" w:cs="Arial"/>
          <w:sz w:val="20"/>
          <w:szCs w:val="20"/>
        </w:rPr>
        <w:t xml:space="preserve"> korun</w:t>
      </w:r>
      <w:r w:rsidR="009C0793" w:rsidRPr="00B34562">
        <w:rPr>
          <w:rFonts w:ascii="Arial" w:hAnsi="Arial" w:cs="Arial"/>
          <w:sz w:val="20"/>
          <w:szCs w:val="20"/>
        </w:rPr>
        <w:t>.</w:t>
      </w:r>
      <w:r w:rsidR="002333DA" w:rsidRPr="006618CF">
        <w:rPr>
          <w:rFonts w:ascii="Arial" w:hAnsi="Arial" w:cs="Arial"/>
          <w:sz w:val="20"/>
          <w:szCs w:val="20"/>
        </w:rPr>
        <w:t xml:space="preserve"> </w:t>
      </w:r>
      <w:bookmarkStart w:id="0" w:name="_GoBack"/>
      <w:bookmarkEnd w:id="0"/>
    </w:p>
    <w:p w14:paraId="21416D1B" w14:textId="77777777" w:rsidR="0018139F" w:rsidRPr="00116A29" w:rsidRDefault="0018139F" w:rsidP="00D45B0E">
      <w:pPr>
        <w:ind w:right="-11"/>
        <w:jc w:val="both"/>
        <w:rPr>
          <w:rFonts w:ascii="Arial" w:hAnsi="Arial" w:cs="Arial"/>
          <w:b/>
          <w:sz w:val="20"/>
          <w:szCs w:val="20"/>
        </w:rPr>
      </w:pPr>
    </w:p>
    <w:p w14:paraId="36B20AED" w14:textId="7FCBE105" w:rsidR="00763554" w:rsidRPr="00116A29" w:rsidRDefault="00100869" w:rsidP="00D45B0E">
      <w:pPr>
        <w:ind w:right="-11"/>
        <w:jc w:val="both"/>
        <w:rPr>
          <w:rFonts w:ascii="Arial" w:hAnsi="Arial" w:cs="Arial"/>
          <w:bCs/>
          <w:sz w:val="20"/>
          <w:szCs w:val="20"/>
        </w:rPr>
      </w:pPr>
      <w:r w:rsidRPr="00116A29">
        <w:rPr>
          <w:rFonts w:ascii="Arial" w:hAnsi="Arial" w:cs="Arial"/>
          <w:bCs/>
          <w:sz w:val="20"/>
          <w:szCs w:val="20"/>
        </w:rPr>
        <w:t xml:space="preserve">Broker Consulting POVIndex sleduje vývoj nákladů na povinné ručení pro řidiče bez historie, ať už se jedná o nového řidiče, nebo o řidiče užívajícího do nedávné doby služební vozidlo. </w:t>
      </w:r>
      <w:r w:rsidR="00A51DB8" w:rsidRPr="00116A29">
        <w:rPr>
          <w:rFonts w:ascii="Arial" w:hAnsi="Arial" w:cs="Arial"/>
          <w:bCs/>
          <w:sz w:val="20"/>
          <w:szCs w:val="20"/>
        </w:rPr>
        <w:t>Pro vizualizaci je zvolena z</w:t>
      </w:r>
      <w:r w:rsidRPr="00116A29">
        <w:rPr>
          <w:rFonts w:ascii="Arial" w:hAnsi="Arial" w:cs="Arial"/>
          <w:bCs/>
          <w:sz w:val="20"/>
          <w:szCs w:val="20"/>
        </w:rPr>
        <w:t>n</w:t>
      </w:r>
      <w:r w:rsidR="00A51DB8" w:rsidRPr="00116A29">
        <w:rPr>
          <w:rFonts w:ascii="Arial" w:hAnsi="Arial" w:cs="Arial"/>
          <w:bCs/>
          <w:sz w:val="20"/>
          <w:szCs w:val="20"/>
        </w:rPr>
        <w:t>ačka vozu Škoda Octavia 1,6 TDI</w:t>
      </w:r>
      <w:r w:rsidR="001B5A35">
        <w:rPr>
          <w:rFonts w:ascii="Arial" w:hAnsi="Arial" w:cs="Arial"/>
          <w:bCs/>
          <w:sz w:val="20"/>
          <w:szCs w:val="20"/>
        </w:rPr>
        <w:t xml:space="preserve">, </w:t>
      </w:r>
      <w:r w:rsidR="001B5A35" w:rsidRPr="001B5A35">
        <w:rPr>
          <w:rFonts w:ascii="Arial" w:hAnsi="Arial" w:cs="Arial"/>
          <w:bCs/>
          <w:sz w:val="20"/>
          <w:szCs w:val="20"/>
        </w:rPr>
        <w:t>85 kW</w:t>
      </w:r>
      <w:r w:rsidRPr="00116A29">
        <w:rPr>
          <w:rFonts w:ascii="Arial" w:hAnsi="Arial" w:cs="Arial"/>
          <w:bCs/>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r w:rsidR="008B6A2A" w:rsidRPr="00DF4C4D">
        <w:rPr>
          <w:rFonts w:ascii="Arial" w:hAnsi="Arial" w:cs="Arial"/>
          <w:bCs/>
          <w:sz w:val="20"/>
          <w:szCs w:val="20"/>
        </w:rPr>
        <w:t xml:space="preserve"> POVIndex</w:t>
      </w:r>
      <w:r w:rsidR="008B6A2A">
        <w:rPr>
          <w:rFonts w:ascii="Arial" w:hAnsi="Arial" w:cs="Arial"/>
          <w:bCs/>
          <w:sz w:val="20"/>
          <w:szCs w:val="20"/>
        </w:rPr>
        <w:t xml:space="preserve"> je </w:t>
      </w:r>
      <w:r w:rsidR="008B6A2A" w:rsidRPr="00FA7300">
        <w:rPr>
          <w:rFonts w:ascii="Arial" w:hAnsi="Arial" w:cs="Arial"/>
          <w:bCs/>
          <w:sz w:val="20"/>
          <w:szCs w:val="20"/>
        </w:rPr>
        <w:t xml:space="preserve">založen na odlišné metodice výpočtu, než jakou používá ČKP. Jeho hodnota </w:t>
      </w:r>
      <w:r w:rsidR="008B6A2A">
        <w:rPr>
          <w:rFonts w:ascii="Arial" w:hAnsi="Arial" w:cs="Arial"/>
          <w:bCs/>
          <w:sz w:val="20"/>
          <w:szCs w:val="20"/>
        </w:rPr>
        <w:t xml:space="preserve">tak </w:t>
      </w:r>
      <w:r w:rsidR="008B6A2A" w:rsidRPr="00FA7300">
        <w:rPr>
          <w:rFonts w:ascii="Arial" w:hAnsi="Arial" w:cs="Arial"/>
          <w:bCs/>
          <w:sz w:val="20"/>
          <w:szCs w:val="20"/>
        </w:rPr>
        <w:t>nevychází z průměru hodnot celé řady veličin, ale z menšího množství parametrů</w:t>
      </w:r>
      <w:r w:rsidR="008B6A2A">
        <w:rPr>
          <w:rFonts w:ascii="Arial" w:hAnsi="Arial" w:cs="Arial"/>
          <w:bCs/>
          <w:sz w:val="20"/>
          <w:szCs w:val="20"/>
        </w:rPr>
        <w:t>.</w:t>
      </w:r>
    </w:p>
    <w:p w14:paraId="7A4EE6CB" w14:textId="75BF1334" w:rsidR="00404CDA" w:rsidRPr="007255CD" w:rsidRDefault="00404CDA" w:rsidP="00D45B0E">
      <w:pPr>
        <w:ind w:right="-11"/>
        <w:jc w:val="both"/>
        <w:rPr>
          <w:rFonts w:ascii="Arial" w:hAnsi="Arial" w:cs="Arial"/>
          <w:b/>
          <w:color w:val="FF0000"/>
          <w:sz w:val="20"/>
          <w:szCs w:val="20"/>
        </w:rPr>
      </w:pPr>
    </w:p>
    <w:p w14:paraId="2344969C" w14:textId="0F71DFBC" w:rsidR="00906147" w:rsidRDefault="007D67A6" w:rsidP="00D45B0E">
      <w:pPr>
        <w:ind w:right="-11"/>
        <w:jc w:val="both"/>
        <w:rPr>
          <w:noProof/>
          <w:lang w:bidi="ar-SA"/>
        </w:rPr>
      </w:pPr>
      <w:r>
        <w:rPr>
          <w:noProof/>
          <w:lang w:bidi="ar-SA"/>
        </w:rPr>
        <w:drawing>
          <wp:inline distT="0" distB="0" distL="0" distR="0" wp14:anchorId="1EA0F668" wp14:editId="29417FCB">
            <wp:extent cx="6563995" cy="2707005"/>
            <wp:effectExtent l="0" t="0" r="8255" b="171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E65848" w14:textId="3752B768" w:rsidR="006618CF" w:rsidRPr="00EB4375" w:rsidRDefault="006618CF" w:rsidP="00D45B0E">
      <w:pPr>
        <w:ind w:right="-11"/>
        <w:jc w:val="both"/>
        <w:rPr>
          <w:rFonts w:ascii="Arial" w:eastAsiaTheme="minorHAnsi" w:hAnsi="Arial" w:cs="Arial"/>
          <w:b/>
          <w:bCs/>
          <w:sz w:val="20"/>
          <w:szCs w:val="20"/>
          <w:lang w:bidi="ar-SA"/>
        </w:rPr>
      </w:pPr>
    </w:p>
    <w:p w14:paraId="51FA9D12" w14:textId="77777777" w:rsidR="00A73F68" w:rsidRPr="008B6A2A" w:rsidRDefault="00A73F68" w:rsidP="00D45B0E">
      <w:pPr>
        <w:shd w:val="clear" w:color="auto" w:fill="FFFFFF"/>
        <w:spacing w:line="276" w:lineRule="auto"/>
        <w:ind w:right="-11"/>
        <w:jc w:val="both"/>
        <w:rPr>
          <w:rFonts w:ascii="Arial" w:eastAsia="Times New Roman" w:hAnsi="Arial" w:cs="Arial"/>
          <w:b/>
        </w:rPr>
      </w:pPr>
      <w:r w:rsidRPr="008B6A2A">
        <w:rPr>
          <w:rFonts w:ascii="Arial" w:eastAsia="Times New Roman" w:hAnsi="Arial" w:cs="Arial"/>
          <w:b/>
        </w:rPr>
        <w:t>Povinné ručení patří do kategorie odpovědnosti</w:t>
      </w:r>
    </w:p>
    <w:p w14:paraId="22FA86C9" w14:textId="77777777" w:rsidR="00DF4C4D" w:rsidRDefault="00DF4C4D" w:rsidP="00D45B0E">
      <w:pPr>
        <w:shd w:val="clear" w:color="auto" w:fill="FFFFFF"/>
        <w:spacing w:line="276" w:lineRule="auto"/>
        <w:ind w:right="-11"/>
        <w:jc w:val="both"/>
        <w:rPr>
          <w:rFonts w:ascii="Arial" w:eastAsia="Times New Roman" w:hAnsi="Arial" w:cs="Arial"/>
          <w:sz w:val="20"/>
          <w:szCs w:val="20"/>
        </w:rPr>
      </w:pPr>
    </w:p>
    <w:p w14:paraId="16689767" w14:textId="22E3EACE" w:rsidR="00A73F68" w:rsidRPr="008B6A2A" w:rsidRDefault="008B6A2A" w:rsidP="00D45B0E">
      <w:pPr>
        <w:shd w:val="clear" w:color="auto" w:fill="FFFFFF"/>
        <w:spacing w:line="276" w:lineRule="auto"/>
        <w:ind w:right="-11"/>
        <w:jc w:val="both"/>
        <w:rPr>
          <w:rFonts w:ascii="Arial" w:eastAsia="Times New Roman" w:hAnsi="Arial" w:cs="Arial"/>
          <w:b/>
          <w:sz w:val="20"/>
          <w:szCs w:val="20"/>
        </w:rPr>
      </w:pPr>
      <w:r>
        <w:rPr>
          <w:rFonts w:ascii="Arial" w:eastAsia="Times New Roman" w:hAnsi="Arial" w:cs="Arial"/>
          <w:sz w:val="20"/>
          <w:szCs w:val="20"/>
        </w:rPr>
        <w:t>U limitu povinného ručení</w:t>
      </w:r>
      <w:r w:rsidR="00786A7F">
        <w:rPr>
          <w:rFonts w:ascii="Arial" w:eastAsia="Times New Roman" w:hAnsi="Arial" w:cs="Arial"/>
          <w:sz w:val="20"/>
          <w:szCs w:val="20"/>
        </w:rPr>
        <w:t>, tj. pojištění odpovědnosti z provozu vozidla,</w:t>
      </w:r>
      <w:r>
        <w:rPr>
          <w:rFonts w:ascii="Arial" w:eastAsia="Times New Roman" w:hAnsi="Arial" w:cs="Arial"/>
          <w:sz w:val="20"/>
          <w:szCs w:val="20"/>
        </w:rPr>
        <w:t xml:space="preserve"> udává pr</w:t>
      </w:r>
      <w:r w:rsidR="00A73F68" w:rsidRPr="008B6A2A">
        <w:rPr>
          <w:rFonts w:ascii="Arial" w:eastAsia="Times New Roman" w:hAnsi="Arial" w:cs="Arial"/>
          <w:sz w:val="20"/>
          <w:szCs w:val="20"/>
        </w:rPr>
        <w:t xml:space="preserve">vní číslo maximální částku pojistného plnění při újmě na zdraví nebo usmrcení na každého zraněného nebo usmrceného. Druhé číslo určuje maximální hodnotu limitu pojistného plnění v případě věcné škody a škody </w:t>
      </w:r>
      <w:r>
        <w:rPr>
          <w:rFonts w:ascii="Arial" w:eastAsia="Times New Roman" w:hAnsi="Arial" w:cs="Arial"/>
          <w:sz w:val="20"/>
          <w:szCs w:val="20"/>
        </w:rPr>
        <w:t>související s ušlým ziskem</w:t>
      </w:r>
      <w:r w:rsidR="00A73F68" w:rsidRPr="008B6A2A">
        <w:rPr>
          <w:rFonts w:ascii="Arial" w:eastAsia="Times New Roman" w:hAnsi="Arial" w:cs="Arial"/>
          <w:sz w:val="20"/>
          <w:szCs w:val="20"/>
        </w:rPr>
        <w:t xml:space="preserve"> bez odhledu na počet poškozených. </w:t>
      </w:r>
      <w:r w:rsidR="00786A7F">
        <w:rPr>
          <w:rFonts w:ascii="Arial" w:eastAsia="Times New Roman" w:hAnsi="Arial" w:cs="Arial"/>
          <w:sz w:val="20"/>
          <w:szCs w:val="20"/>
        </w:rPr>
        <w:t>Je však třeba mít na paměti, že</w:t>
      </w:r>
      <w:r w:rsidR="00A73F68" w:rsidRPr="008B6A2A">
        <w:rPr>
          <w:rFonts w:ascii="Arial" w:eastAsia="Times New Roman" w:hAnsi="Arial" w:cs="Arial"/>
          <w:sz w:val="20"/>
          <w:szCs w:val="20"/>
        </w:rPr>
        <w:t xml:space="preserve"> v tomto případě uvedená částka je </w:t>
      </w:r>
      <w:r w:rsidR="00D45B0E">
        <w:rPr>
          <w:rFonts w:ascii="Arial" w:eastAsia="Times New Roman" w:hAnsi="Arial" w:cs="Arial"/>
          <w:sz w:val="20"/>
          <w:szCs w:val="20"/>
        </w:rPr>
        <w:t>bez ohledu na počet poškozených.</w:t>
      </w:r>
    </w:p>
    <w:p w14:paraId="4585186B" w14:textId="77777777" w:rsidR="00A73F68" w:rsidRPr="008B6A2A" w:rsidRDefault="00A73F68" w:rsidP="00D45B0E">
      <w:pPr>
        <w:shd w:val="clear" w:color="auto" w:fill="FFFFFF"/>
        <w:spacing w:line="276" w:lineRule="auto"/>
        <w:ind w:right="-11"/>
        <w:jc w:val="both"/>
        <w:rPr>
          <w:rFonts w:ascii="Arial" w:eastAsia="Times New Roman" w:hAnsi="Arial" w:cs="Arial"/>
          <w:sz w:val="20"/>
          <w:szCs w:val="20"/>
        </w:rPr>
      </w:pPr>
    </w:p>
    <w:p w14:paraId="1E069E16" w14:textId="189ACAB4" w:rsidR="00A73F68" w:rsidRPr="008B6A2A" w:rsidRDefault="00A73F68" w:rsidP="00D45B0E">
      <w:pPr>
        <w:shd w:val="clear" w:color="auto" w:fill="FFFFFF"/>
        <w:spacing w:line="276" w:lineRule="auto"/>
        <w:ind w:right="-11"/>
        <w:jc w:val="both"/>
        <w:rPr>
          <w:rFonts w:ascii="Arial" w:eastAsia="Times New Roman" w:hAnsi="Arial" w:cs="Arial"/>
          <w:sz w:val="20"/>
          <w:szCs w:val="20"/>
        </w:rPr>
      </w:pPr>
      <w:r w:rsidRPr="008B6A2A">
        <w:rPr>
          <w:rFonts w:ascii="Arial" w:eastAsia="Times New Roman" w:hAnsi="Arial" w:cs="Arial"/>
          <w:sz w:val="20"/>
          <w:szCs w:val="20"/>
        </w:rPr>
        <w:t xml:space="preserve">Pojišťovny </w:t>
      </w:r>
      <w:r w:rsidR="008B6A2A">
        <w:rPr>
          <w:rFonts w:ascii="Arial" w:eastAsia="Times New Roman" w:hAnsi="Arial" w:cs="Arial"/>
          <w:sz w:val="20"/>
          <w:szCs w:val="20"/>
        </w:rPr>
        <w:t xml:space="preserve">standardně </w:t>
      </w:r>
      <w:r w:rsidRPr="008B6A2A">
        <w:rPr>
          <w:rFonts w:ascii="Arial" w:eastAsia="Times New Roman" w:hAnsi="Arial" w:cs="Arial"/>
          <w:sz w:val="20"/>
          <w:szCs w:val="20"/>
        </w:rPr>
        <w:t>nabíz</w:t>
      </w:r>
      <w:r w:rsidR="008B6A2A">
        <w:rPr>
          <w:rFonts w:ascii="Arial" w:eastAsia="Times New Roman" w:hAnsi="Arial" w:cs="Arial"/>
          <w:sz w:val="20"/>
          <w:szCs w:val="20"/>
        </w:rPr>
        <w:t>ej</w:t>
      </w:r>
      <w:r w:rsidRPr="008B6A2A">
        <w:rPr>
          <w:rFonts w:ascii="Arial" w:eastAsia="Times New Roman" w:hAnsi="Arial" w:cs="Arial"/>
          <w:sz w:val="20"/>
          <w:szCs w:val="20"/>
        </w:rPr>
        <w:t xml:space="preserve">í </w:t>
      </w:r>
      <w:r w:rsidR="00786A7F">
        <w:rPr>
          <w:rFonts w:ascii="Arial" w:eastAsia="Times New Roman" w:hAnsi="Arial" w:cs="Arial"/>
          <w:b/>
          <w:sz w:val="20"/>
          <w:szCs w:val="20"/>
        </w:rPr>
        <w:t>několik</w:t>
      </w:r>
      <w:r w:rsidRPr="00357A84">
        <w:rPr>
          <w:rFonts w:ascii="Arial" w:eastAsia="Times New Roman" w:hAnsi="Arial" w:cs="Arial"/>
          <w:b/>
          <w:sz w:val="20"/>
          <w:szCs w:val="20"/>
        </w:rPr>
        <w:t xml:space="preserve"> limitů pojistného plnění</w:t>
      </w:r>
      <w:r w:rsidRPr="008B6A2A">
        <w:rPr>
          <w:rFonts w:ascii="Arial" w:eastAsia="Times New Roman" w:hAnsi="Arial" w:cs="Arial"/>
          <w:sz w:val="20"/>
          <w:szCs w:val="20"/>
        </w:rPr>
        <w:t xml:space="preserve"> – strop krytí je s možností </w:t>
      </w:r>
      <w:r w:rsidR="008B6A2A">
        <w:rPr>
          <w:rFonts w:ascii="Arial" w:eastAsia="Times New Roman" w:hAnsi="Arial" w:cs="Arial"/>
          <w:sz w:val="20"/>
          <w:szCs w:val="20"/>
        </w:rPr>
        <w:t>maximálního pojistného limitu</w:t>
      </w:r>
      <w:r w:rsidRPr="008B6A2A">
        <w:rPr>
          <w:rFonts w:ascii="Arial" w:eastAsia="Times New Roman" w:hAnsi="Arial" w:cs="Arial"/>
          <w:sz w:val="20"/>
          <w:szCs w:val="20"/>
        </w:rPr>
        <w:t xml:space="preserve"> </w:t>
      </w:r>
      <w:r w:rsidRPr="00357A84">
        <w:rPr>
          <w:rFonts w:ascii="Arial" w:eastAsia="Times New Roman" w:hAnsi="Arial" w:cs="Arial"/>
          <w:b/>
          <w:sz w:val="20"/>
          <w:szCs w:val="20"/>
        </w:rPr>
        <w:t>250 milionů korun</w:t>
      </w:r>
      <w:r w:rsidRPr="008B6A2A">
        <w:rPr>
          <w:rFonts w:ascii="Arial" w:eastAsia="Times New Roman" w:hAnsi="Arial" w:cs="Arial"/>
          <w:sz w:val="20"/>
          <w:szCs w:val="20"/>
        </w:rPr>
        <w:t xml:space="preserve">. </w:t>
      </w:r>
      <w:r w:rsidR="00357A84">
        <w:rPr>
          <w:rFonts w:ascii="Arial" w:eastAsia="Times New Roman" w:hAnsi="Arial" w:cs="Arial"/>
          <w:sz w:val="20"/>
          <w:szCs w:val="20"/>
        </w:rPr>
        <w:t>Naopak nejnižší hranice krytí je zákonem stanovena na</w:t>
      </w:r>
      <w:r w:rsidR="008B6A2A" w:rsidRPr="008B6A2A">
        <w:rPr>
          <w:rFonts w:ascii="Arial" w:eastAsia="Times New Roman" w:hAnsi="Arial" w:cs="Arial"/>
          <w:sz w:val="20"/>
          <w:szCs w:val="20"/>
        </w:rPr>
        <w:t xml:space="preserve"> </w:t>
      </w:r>
      <w:r w:rsidR="008B6A2A" w:rsidRPr="00357A84">
        <w:rPr>
          <w:rFonts w:ascii="Arial" w:eastAsia="Times New Roman" w:hAnsi="Arial" w:cs="Arial"/>
          <w:b/>
          <w:sz w:val="20"/>
          <w:szCs w:val="20"/>
        </w:rPr>
        <w:t>35 milionů korun</w:t>
      </w:r>
      <w:r w:rsidR="00786A7F">
        <w:rPr>
          <w:rFonts w:ascii="Arial" w:eastAsia="Times New Roman" w:hAnsi="Arial" w:cs="Arial"/>
          <w:b/>
          <w:sz w:val="20"/>
          <w:szCs w:val="20"/>
        </w:rPr>
        <w:t xml:space="preserve">. </w:t>
      </w:r>
      <w:r w:rsidR="00786A7F" w:rsidRPr="00786A7F">
        <w:rPr>
          <w:rFonts w:ascii="Arial" w:eastAsia="Times New Roman" w:hAnsi="Arial" w:cs="Arial"/>
          <w:sz w:val="20"/>
          <w:szCs w:val="20"/>
        </w:rPr>
        <w:t>Tato suma je o</w:t>
      </w:r>
      <w:r w:rsidR="00357A84">
        <w:rPr>
          <w:rFonts w:ascii="Arial" w:eastAsia="Times New Roman" w:hAnsi="Arial" w:cs="Arial"/>
          <w:sz w:val="20"/>
          <w:szCs w:val="20"/>
        </w:rPr>
        <w:t xml:space="preserve">všem </w:t>
      </w:r>
      <w:r w:rsidRPr="008B6A2A">
        <w:rPr>
          <w:rFonts w:ascii="Arial" w:eastAsia="Times New Roman" w:hAnsi="Arial" w:cs="Arial"/>
          <w:sz w:val="20"/>
          <w:szCs w:val="20"/>
        </w:rPr>
        <w:t xml:space="preserve">v případě vážných nehod nedostatečná. Důkazem jsou reálné příklady, kdy viníci dopravní nehody musejí </w:t>
      </w:r>
      <w:r w:rsidR="00786A7F">
        <w:rPr>
          <w:rFonts w:ascii="Arial" w:eastAsia="Times New Roman" w:hAnsi="Arial" w:cs="Arial"/>
          <w:sz w:val="20"/>
          <w:szCs w:val="20"/>
        </w:rPr>
        <w:lastRenderedPageBreak/>
        <w:t xml:space="preserve">zaplatit </w:t>
      </w:r>
      <w:r w:rsidRPr="008B6A2A">
        <w:rPr>
          <w:rFonts w:ascii="Arial" w:eastAsia="Times New Roman" w:hAnsi="Arial" w:cs="Arial"/>
          <w:sz w:val="20"/>
          <w:szCs w:val="20"/>
        </w:rPr>
        <w:t>nejen škody způsobené na vozidlech, ale také uhradit odškodnění za újmu na zdraví, případně ušlý zisk, platby v</w:t>
      </w:r>
      <w:r w:rsidR="00357A84">
        <w:rPr>
          <w:rFonts w:ascii="Arial" w:eastAsia="Times New Roman" w:hAnsi="Arial" w:cs="Arial"/>
          <w:sz w:val="20"/>
          <w:szCs w:val="20"/>
        </w:rPr>
        <w:t xml:space="preserve"> </w:t>
      </w:r>
      <w:r w:rsidRPr="008B6A2A">
        <w:rPr>
          <w:rFonts w:ascii="Arial" w:eastAsia="Times New Roman" w:hAnsi="Arial" w:cs="Arial"/>
          <w:sz w:val="20"/>
          <w:szCs w:val="20"/>
        </w:rPr>
        <w:t xml:space="preserve">nemocnicích nebo vzniklé škody na budovách či silnicích. </w:t>
      </w:r>
    </w:p>
    <w:p w14:paraId="611C7B1D" w14:textId="77777777" w:rsidR="00357A84" w:rsidRDefault="00357A84" w:rsidP="00D45B0E">
      <w:pPr>
        <w:shd w:val="clear" w:color="auto" w:fill="FFFFFF"/>
        <w:ind w:right="-11"/>
        <w:jc w:val="both"/>
        <w:rPr>
          <w:rFonts w:ascii="Arial" w:eastAsia="Times New Roman" w:hAnsi="Arial" w:cs="Arial"/>
          <w:b/>
          <w:sz w:val="20"/>
          <w:szCs w:val="20"/>
        </w:rPr>
      </w:pPr>
    </w:p>
    <w:p w14:paraId="2824120F" w14:textId="793112B7" w:rsidR="00A73F68" w:rsidRPr="008B6A2A" w:rsidRDefault="00357A84" w:rsidP="00D45B0E">
      <w:pPr>
        <w:shd w:val="clear" w:color="auto" w:fill="FFFFFF"/>
        <w:ind w:right="-11"/>
        <w:jc w:val="both"/>
        <w:rPr>
          <w:rFonts w:ascii="Arial" w:hAnsi="Arial" w:cs="Arial"/>
          <w:color w:val="000000"/>
          <w:sz w:val="20"/>
          <w:szCs w:val="20"/>
        </w:rPr>
      </w:pPr>
      <w:r>
        <w:rPr>
          <w:rFonts w:ascii="Arial" w:hAnsi="Arial" w:cs="Arial"/>
          <w:color w:val="000000"/>
          <w:sz w:val="20"/>
          <w:szCs w:val="20"/>
        </w:rPr>
        <w:t xml:space="preserve">V případě, že je </w:t>
      </w:r>
      <w:r w:rsidRPr="00357A84">
        <w:rPr>
          <w:rFonts w:ascii="Arial" w:hAnsi="Arial" w:cs="Arial"/>
          <w:b/>
          <w:color w:val="000000"/>
          <w:sz w:val="20"/>
          <w:szCs w:val="20"/>
        </w:rPr>
        <w:t>vozidlo vyřazeno z provozu</w:t>
      </w:r>
      <w:r>
        <w:rPr>
          <w:rFonts w:ascii="Arial" w:hAnsi="Arial" w:cs="Arial"/>
          <w:color w:val="000000"/>
          <w:sz w:val="20"/>
          <w:szCs w:val="20"/>
        </w:rPr>
        <w:t xml:space="preserve">, </w:t>
      </w:r>
      <w:r w:rsidR="00A73F68" w:rsidRPr="008B6A2A">
        <w:rPr>
          <w:rFonts w:ascii="Arial" w:hAnsi="Arial" w:cs="Arial"/>
          <w:color w:val="000000"/>
          <w:sz w:val="20"/>
          <w:szCs w:val="20"/>
        </w:rPr>
        <w:t>zaniká pojištění odpovědnosti dnem účinnosti rozhodnutí</w:t>
      </w:r>
      <w:r>
        <w:rPr>
          <w:rFonts w:ascii="Arial" w:hAnsi="Arial" w:cs="Arial"/>
          <w:color w:val="000000"/>
          <w:sz w:val="20"/>
          <w:szCs w:val="20"/>
        </w:rPr>
        <w:t xml:space="preserve"> o jeho vyřazení</w:t>
      </w:r>
      <w:r w:rsidR="00A73F68" w:rsidRPr="008B6A2A">
        <w:rPr>
          <w:rFonts w:ascii="Arial" w:hAnsi="Arial" w:cs="Arial"/>
          <w:color w:val="000000"/>
          <w:sz w:val="20"/>
          <w:szCs w:val="20"/>
        </w:rPr>
        <w:t>.</w:t>
      </w:r>
      <w:r>
        <w:rPr>
          <w:rFonts w:ascii="Arial" w:hAnsi="Arial" w:cs="Arial"/>
          <w:color w:val="000000"/>
          <w:sz w:val="20"/>
          <w:szCs w:val="20"/>
        </w:rPr>
        <w:t xml:space="preserve"> Majitel</w:t>
      </w:r>
      <w:r w:rsidR="00786A7F">
        <w:rPr>
          <w:rFonts w:ascii="Arial" w:hAnsi="Arial" w:cs="Arial"/>
          <w:color w:val="000000"/>
          <w:sz w:val="20"/>
          <w:szCs w:val="20"/>
        </w:rPr>
        <w:t xml:space="preserve"> vozidla </w:t>
      </w:r>
      <w:r>
        <w:rPr>
          <w:rFonts w:ascii="Arial" w:hAnsi="Arial" w:cs="Arial"/>
          <w:color w:val="000000"/>
          <w:sz w:val="20"/>
          <w:szCs w:val="20"/>
        </w:rPr>
        <w:t xml:space="preserve">má </w:t>
      </w:r>
      <w:r w:rsidR="00786A7F">
        <w:rPr>
          <w:rFonts w:ascii="Arial" w:hAnsi="Arial" w:cs="Arial"/>
          <w:color w:val="000000"/>
          <w:sz w:val="20"/>
          <w:szCs w:val="20"/>
        </w:rPr>
        <w:t xml:space="preserve">poté </w:t>
      </w:r>
      <w:r>
        <w:rPr>
          <w:rFonts w:ascii="Arial" w:hAnsi="Arial" w:cs="Arial"/>
          <w:color w:val="000000"/>
          <w:sz w:val="20"/>
          <w:szCs w:val="20"/>
        </w:rPr>
        <w:t xml:space="preserve">povinnost toto rozhodnutí neodkladně oznámit </w:t>
      </w:r>
      <w:r w:rsidR="00A73F68" w:rsidRPr="008B6A2A">
        <w:rPr>
          <w:rFonts w:ascii="Arial" w:hAnsi="Arial" w:cs="Arial"/>
          <w:color w:val="000000"/>
          <w:sz w:val="20"/>
          <w:szCs w:val="20"/>
        </w:rPr>
        <w:t>své pojišťovně a odevzdat zelenou</w:t>
      </w:r>
      <w:r w:rsidR="00CB31FF" w:rsidRPr="008B6A2A">
        <w:rPr>
          <w:rFonts w:ascii="Arial" w:hAnsi="Arial" w:cs="Arial"/>
          <w:color w:val="000000"/>
          <w:sz w:val="20"/>
          <w:szCs w:val="20"/>
        </w:rPr>
        <w:t>, resp. bílou</w:t>
      </w:r>
      <w:r w:rsidR="00A73F68" w:rsidRPr="008B6A2A">
        <w:rPr>
          <w:rFonts w:ascii="Arial" w:hAnsi="Arial" w:cs="Arial"/>
          <w:color w:val="000000"/>
          <w:sz w:val="20"/>
          <w:szCs w:val="20"/>
        </w:rPr>
        <w:t xml:space="preserve"> kartu.</w:t>
      </w:r>
    </w:p>
    <w:p w14:paraId="4478FB98" w14:textId="77777777" w:rsidR="00DF4C4D" w:rsidRDefault="00DF4C4D" w:rsidP="00D45B0E">
      <w:pPr>
        <w:pStyle w:val="Bezmezer"/>
        <w:ind w:right="-11"/>
        <w:jc w:val="both"/>
        <w:rPr>
          <w:rFonts w:ascii="Arial" w:eastAsia="F015TEELig" w:hAnsi="Arial" w:cs="Arial"/>
          <w:bCs/>
          <w:sz w:val="20"/>
          <w:szCs w:val="20"/>
          <w:lang w:bidi="cs-CZ"/>
        </w:rPr>
      </w:pPr>
    </w:p>
    <w:p w14:paraId="43BEEAE6" w14:textId="77777777" w:rsidR="00786A7F" w:rsidRDefault="005B581C" w:rsidP="00D45B0E">
      <w:pPr>
        <w:shd w:val="clear" w:color="auto" w:fill="FFFFFF"/>
        <w:ind w:right="-11"/>
        <w:jc w:val="both"/>
        <w:rPr>
          <w:rFonts w:ascii="Arial" w:eastAsia="Times New Roman" w:hAnsi="Arial" w:cs="Arial"/>
          <w:sz w:val="20"/>
          <w:szCs w:val="20"/>
        </w:rPr>
      </w:pPr>
      <w:r>
        <w:rPr>
          <w:rFonts w:ascii="Arial" w:hAnsi="Arial" w:cs="Arial"/>
          <w:color w:val="000000"/>
          <w:sz w:val="20"/>
          <w:szCs w:val="20"/>
        </w:rPr>
        <w:t>Je</w:t>
      </w:r>
      <w:r w:rsidR="00786A7F">
        <w:rPr>
          <w:rFonts w:ascii="Arial" w:hAnsi="Arial" w:cs="Arial"/>
          <w:color w:val="000000"/>
          <w:sz w:val="20"/>
          <w:szCs w:val="20"/>
        </w:rPr>
        <w:t xml:space="preserve">zdit </w:t>
      </w:r>
      <w:r w:rsidRPr="00DF4C4D">
        <w:rPr>
          <w:rFonts w:ascii="Arial" w:hAnsi="Arial" w:cs="Arial"/>
          <w:b/>
          <w:color w:val="000000"/>
          <w:sz w:val="20"/>
          <w:szCs w:val="20"/>
        </w:rPr>
        <w:t>vozem bez povinného ručení představuje velký risk</w:t>
      </w:r>
      <w:r>
        <w:rPr>
          <w:rFonts w:ascii="Arial" w:hAnsi="Arial" w:cs="Arial"/>
          <w:color w:val="000000"/>
          <w:sz w:val="20"/>
          <w:szCs w:val="20"/>
        </w:rPr>
        <w:t xml:space="preserve">. V případě, že tento vůz způsobí nehodu, jeho majitel či provozovatel musí České kanceláři pojistitelů </w:t>
      </w:r>
      <w:r w:rsidR="00DF4C4D">
        <w:rPr>
          <w:rFonts w:ascii="Arial" w:hAnsi="Arial" w:cs="Arial"/>
          <w:color w:val="000000"/>
          <w:sz w:val="20"/>
          <w:szCs w:val="20"/>
        </w:rPr>
        <w:t xml:space="preserve">(ČKP) </w:t>
      </w:r>
      <w:r>
        <w:rPr>
          <w:rFonts w:ascii="Arial" w:hAnsi="Arial" w:cs="Arial"/>
          <w:color w:val="000000"/>
          <w:sz w:val="20"/>
          <w:szCs w:val="20"/>
        </w:rPr>
        <w:t>zaplatit částku za pojistné plnění, které ČKP uhradila poškozenému ze svého</w:t>
      </w:r>
      <w:r w:rsidRPr="008B6A2A">
        <w:rPr>
          <w:rFonts w:ascii="Arial" w:hAnsi="Arial" w:cs="Arial"/>
          <w:color w:val="000000"/>
          <w:sz w:val="20"/>
          <w:szCs w:val="20"/>
        </w:rPr>
        <w:t xml:space="preserve"> garančního fondu</w:t>
      </w:r>
      <w:r>
        <w:rPr>
          <w:rFonts w:ascii="Arial" w:hAnsi="Arial" w:cs="Arial"/>
          <w:color w:val="000000"/>
          <w:sz w:val="20"/>
          <w:szCs w:val="20"/>
        </w:rPr>
        <w:t>.</w:t>
      </w:r>
      <w:r w:rsidRPr="008B6A2A">
        <w:rPr>
          <w:rFonts w:ascii="Arial" w:hAnsi="Arial" w:cs="Arial"/>
          <w:color w:val="000000"/>
          <w:sz w:val="20"/>
          <w:szCs w:val="20"/>
        </w:rPr>
        <w:t xml:space="preserve"> </w:t>
      </w:r>
      <w:r w:rsidR="00A73F68" w:rsidRPr="008B6A2A">
        <w:rPr>
          <w:rFonts w:ascii="Arial" w:hAnsi="Arial" w:cs="Arial"/>
          <w:color w:val="000000"/>
          <w:sz w:val="20"/>
          <w:szCs w:val="20"/>
        </w:rPr>
        <w:t xml:space="preserve">Částky vyplacené poškozeným se </w:t>
      </w:r>
      <w:r w:rsidR="00DF4C4D">
        <w:rPr>
          <w:rFonts w:ascii="Arial" w:hAnsi="Arial" w:cs="Arial"/>
          <w:color w:val="000000"/>
          <w:sz w:val="20"/>
          <w:szCs w:val="20"/>
        </w:rPr>
        <w:t xml:space="preserve">přitom </w:t>
      </w:r>
      <w:r w:rsidR="00A73F68" w:rsidRPr="008B6A2A">
        <w:rPr>
          <w:rFonts w:ascii="Arial" w:hAnsi="Arial" w:cs="Arial"/>
          <w:color w:val="000000"/>
          <w:sz w:val="20"/>
          <w:szCs w:val="20"/>
        </w:rPr>
        <w:t>mohou vyšp</w:t>
      </w:r>
      <w:r w:rsidR="00CB31FF" w:rsidRPr="008B6A2A">
        <w:rPr>
          <w:rFonts w:ascii="Arial" w:hAnsi="Arial" w:cs="Arial"/>
          <w:color w:val="000000"/>
          <w:sz w:val="20"/>
          <w:szCs w:val="20"/>
        </w:rPr>
        <w:t xml:space="preserve">lhat až do výše desítek </w:t>
      </w:r>
      <w:r>
        <w:rPr>
          <w:rFonts w:ascii="Arial" w:hAnsi="Arial" w:cs="Arial"/>
          <w:color w:val="000000"/>
          <w:sz w:val="20"/>
          <w:szCs w:val="20"/>
        </w:rPr>
        <w:t xml:space="preserve">milionů korun. </w:t>
      </w:r>
      <w:r w:rsidR="00DF4C4D">
        <w:rPr>
          <w:rFonts w:ascii="Arial" w:hAnsi="Arial" w:cs="Arial"/>
          <w:color w:val="000000"/>
          <w:sz w:val="20"/>
          <w:szCs w:val="20"/>
        </w:rPr>
        <w:t>Navíc m</w:t>
      </w:r>
      <w:r w:rsidR="00581D28" w:rsidRPr="00DF4C4D">
        <w:rPr>
          <w:rFonts w:ascii="Arial" w:eastAsia="Times New Roman" w:hAnsi="Arial" w:cs="Arial"/>
          <w:sz w:val="20"/>
          <w:szCs w:val="20"/>
        </w:rPr>
        <w:t xml:space="preserve">ajiteli nepojištěného vozidla hrozí </w:t>
      </w:r>
      <w:r w:rsidR="00581D28" w:rsidRPr="00DF4C4D">
        <w:rPr>
          <w:rFonts w:ascii="Arial" w:eastAsia="Times New Roman" w:hAnsi="Arial" w:cs="Arial"/>
          <w:b/>
          <w:sz w:val="20"/>
          <w:szCs w:val="20"/>
        </w:rPr>
        <w:t>pokuta ve správním řízení</w:t>
      </w:r>
      <w:r w:rsidR="00581D28" w:rsidRPr="00DF4C4D">
        <w:rPr>
          <w:rFonts w:ascii="Arial" w:eastAsia="Times New Roman" w:hAnsi="Arial" w:cs="Arial"/>
          <w:sz w:val="20"/>
          <w:szCs w:val="20"/>
        </w:rPr>
        <w:t xml:space="preserve">. </w:t>
      </w:r>
      <w:r w:rsidR="00DF4C4D">
        <w:rPr>
          <w:rFonts w:ascii="Arial" w:eastAsia="Times New Roman" w:hAnsi="Arial" w:cs="Arial"/>
          <w:sz w:val="20"/>
          <w:szCs w:val="20"/>
        </w:rPr>
        <w:t>ČKP</w:t>
      </w:r>
      <w:r w:rsidR="00581D28" w:rsidRPr="00DF4C4D">
        <w:rPr>
          <w:rFonts w:ascii="Arial" w:eastAsia="Times New Roman" w:hAnsi="Arial" w:cs="Arial"/>
          <w:sz w:val="20"/>
          <w:szCs w:val="20"/>
        </w:rPr>
        <w:t xml:space="preserve"> </w:t>
      </w:r>
      <w:r w:rsidR="00CB31FF" w:rsidRPr="00DF4C4D">
        <w:rPr>
          <w:rFonts w:ascii="Arial" w:eastAsia="Times New Roman" w:hAnsi="Arial" w:cs="Arial"/>
          <w:sz w:val="20"/>
          <w:szCs w:val="20"/>
        </w:rPr>
        <w:t xml:space="preserve">je </w:t>
      </w:r>
      <w:r w:rsidR="00581D28" w:rsidRPr="00DF4C4D">
        <w:rPr>
          <w:rFonts w:ascii="Arial" w:eastAsia="Times New Roman" w:hAnsi="Arial" w:cs="Arial"/>
          <w:sz w:val="20"/>
          <w:szCs w:val="20"/>
        </w:rPr>
        <w:t>oprávněna vymáhat sankční poplatek za každý den bez platného pojištění.</w:t>
      </w:r>
      <w:r w:rsidR="00786A7F">
        <w:rPr>
          <w:rFonts w:ascii="Arial" w:eastAsia="Times New Roman" w:hAnsi="Arial" w:cs="Arial"/>
          <w:sz w:val="20"/>
          <w:szCs w:val="20"/>
        </w:rPr>
        <w:t xml:space="preserve"> </w:t>
      </w:r>
    </w:p>
    <w:p w14:paraId="5BE560C3" w14:textId="6E18AD58" w:rsidR="00581D28" w:rsidRPr="00786A7F" w:rsidRDefault="00581D28" w:rsidP="00D45B0E">
      <w:pPr>
        <w:shd w:val="clear" w:color="auto" w:fill="FFFFFF"/>
        <w:ind w:right="-11"/>
        <w:jc w:val="both"/>
        <w:rPr>
          <w:rFonts w:ascii="Arial" w:hAnsi="Arial" w:cs="Arial"/>
          <w:color w:val="000000"/>
          <w:sz w:val="20"/>
          <w:szCs w:val="20"/>
        </w:rPr>
      </w:pPr>
      <w:r w:rsidRPr="00DF4C4D">
        <w:rPr>
          <w:rFonts w:ascii="Arial" w:hAnsi="Arial" w:cs="Arial"/>
          <w:bCs/>
          <w:i/>
          <w:sz w:val="20"/>
          <w:szCs w:val="20"/>
        </w:rPr>
        <w:t>(</w:t>
      </w:r>
      <w:r w:rsidR="00DF4C4D" w:rsidRPr="00DF4C4D">
        <w:rPr>
          <w:rFonts w:ascii="Arial" w:hAnsi="Arial" w:cs="Arial"/>
          <w:bCs/>
          <w:i/>
          <w:sz w:val="20"/>
          <w:szCs w:val="20"/>
        </w:rPr>
        <w:t>S využitím informací České kanceláře pojistitelů</w:t>
      </w:r>
      <w:r w:rsidRPr="00DF4C4D">
        <w:rPr>
          <w:rFonts w:ascii="Arial" w:hAnsi="Arial" w:cs="Arial"/>
          <w:bCs/>
          <w:i/>
          <w:sz w:val="20"/>
          <w:szCs w:val="20"/>
        </w:rPr>
        <w:t xml:space="preserve"> </w:t>
      </w:r>
      <w:hyperlink r:id="rId25" w:history="1">
        <w:r w:rsidR="008B6A2A" w:rsidRPr="00DF4C4D">
          <w:rPr>
            <w:rStyle w:val="Hypertextovodkaz"/>
            <w:rFonts w:ascii="Arial" w:hAnsi="Arial" w:cs="Arial"/>
            <w:bCs/>
            <w:i/>
            <w:sz w:val="20"/>
            <w:szCs w:val="20"/>
          </w:rPr>
          <w:t>www.ckp.cz</w:t>
        </w:r>
      </w:hyperlink>
      <w:r w:rsidRPr="00DF4C4D">
        <w:rPr>
          <w:rFonts w:ascii="Arial" w:hAnsi="Arial" w:cs="Arial"/>
          <w:bCs/>
          <w:i/>
          <w:sz w:val="20"/>
          <w:szCs w:val="20"/>
        </w:rPr>
        <w:t>)</w:t>
      </w:r>
    </w:p>
    <w:p w14:paraId="4A58D648" w14:textId="77777777" w:rsidR="008B6A2A" w:rsidRPr="008B6A2A" w:rsidRDefault="008B6A2A" w:rsidP="00D45B0E">
      <w:pPr>
        <w:pStyle w:val="Bezmezer"/>
        <w:ind w:right="-11"/>
        <w:jc w:val="both"/>
        <w:rPr>
          <w:rFonts w:ascii="Arial" w:eastAsia="F015TEELig" w:hAnsi="Arial" w:cs="Arial"/>
          <w:bCs/>
          <w:sz w:val="20"/>
          <w:szCs w:val="20"/>
          <w:lang w:bidi="cs-CZ"/>
        </w:rPr>
      </w:pPr>
    </w:p>
    <w:p w14:paraId="1312ED3D" w14:textId="77777777" w:rsidR="00DE7CE1" w:rsidRPr="008B6A2A" w:rsidRDefault="00DE7CE1" w:rsidP="00D45B0E">
      <w:pPr>
        <w:pBdr>
          <w:bottom w:val="single" w:sz="4" w:space="1" w:color="auto"/>
        </w:pBdr>
        <w:ind w:right="-11"/>
        <w:rPr>
          <w:rFonts w:ascii="Arial" w:hAnsi="Arial" w:cs="Arial"/>
          <w:b/>
          <w:sz w:val="20"/>
          <w:szCs w:val="20"/>
        </w:rPr>
      </w:pPr>
    </w:p>
    <w:p w14:paraId="0572A7E3" w14:textId="6C510BF2" w:rsidR="00356FFC" w:rsidRDefault="00356FFC" w:rsidP="00D45B0E">
      <w:pPr>
        <w:pStyle w:val="Zkladntext"/>
        <w:spacing w:before="33" w:line="237" w:lineRule="auto"/>
        <w:ind w:right="-11"/>
        <w:jc w:val="both"/>
        <w:rPr>
          <w:rFonts w:ascii="Arial" w:hAnsi="Arial" w:cs="Arial"/>
          <w:b/>
          <w:sz w:val="18"/>
          <w:szCs w:val="18"/>
        </w:rPr>
      </w:pPr>
    </w:p>
    <w:p w14:paraId="62036551" w14:textId="77777777" w:rsidR="00763554" w:rsidRPr="00B244B9" w:rsidRDefault="00763554" w:rsidP="00D45B0E">
      <w:pPr>
        <w:ind w:right="-11"/>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w w:val="105"/>
          <w:sz w:val="18"/>
          <w:szCs w:val="16"/>
        </w:rPr>
        <w:t>I</w:t>
      </w:r>
      <w:r w:rsidRPr="00B244B9">
        <w:rPr>
          <w:rFonts w:ascii="Arial" w:hAnsi="Arial" w:cs="Arial"/>
          <w:i/>
          <w:color w:val="1D1D1B"/>
          <w:w w:val="105"/>
          <w:sz w:val="18"/>
          <w:szCs w:val="16"/>
        </w:rPr>
        <w:t>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hypoteční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C444476" w14:textId="77777777" w:rsidR="00763554" w:rsidRDefault="00763554" w:rsidP="00D45B0E">
      <w:pPr>
        <w:pStyle w:val="Zkladntext"/>
        <w:spacing w:before="33" w:line="237" w:lineRule="auto"/>
        <w:ind w:right="-11"/>
        <w:jc w:val="both"/>
        <w:rPr>
          <w:rFonts w:ascii="Arial" w:hAnsi="Arial" w:cs="Arial"/>
          <w:b/>
          <w:sz w:val="18"/>
          <w:szCs w:val="18"/>
        </w:rPr>
      </w:pPr>
    </w:p>
    <w:p w14:paraId="0F24D052" w14:textId="6B8C0BB9" w:rsidR="00356FFC" w:rsidRDefault="00356FFC" w:rsidP="00D45B0E">
      <w:pPr>
        <w:pStyle w:val="Zkladntext"/>
        <w:spacing w:before="33" w:line="237" w:lineRule="auto"/>
        <w:ind w:right="-11"/>
        <w:jc w:val="both"/>
        <w:rPr>
          <w:rFonts w:ascii="Arial" w:hAnsi="Arial" w:cs="Arial"/>
          <w:b/>
          <w:sz w:val="18"/>
          <w:szCs w:val="18"/>
        </w:rPr>
      </w:pPr>
    </w:p>
    <w:p w14:paraId="6312EAE2" w14:textId="77777777" w:rsidR="001B5A35" w:rsidRPr="00F9094E" w:rsidRDefault="001B5A35" w:rsidP="00D45B0E">
      <w:pPr>
        <w:pStyle w:val="Zkladntext"/>
        <w:spacing w:before="33" w:line="237" w:lineRule="auto"/>
        <w:ind w:right="-11"/>
        <w:jc w:val="both"/>
        <w:rPr>
          <w:rFonts w:ascii="Arial" w:hAnsi="Arial" w:cs="Arial"/>
          <w:sz w:val="18"/>
          <w:szCs w:val="18"/>
        </w:rPr>
      </w:pPr>
      <w:r w:rsidRPr="00F9094E">
        <w:rPr>
          <w:rFonts w:ascii="Arial" w:hAnsi="Arial" w:cs="Arial"/>
          <w:b/>
          <w:sz w:val="18"/>
          <w:szCs w:val="18"/>
        </w:rPr>
        <w:t>Broker Consulting POVIndex</w:t>
      </w:r>
      <w:r w:rsidRPr="00F9094E">
        <w:rPr>
          <w:rFonts w:ascii="Arial" w:hAnsi="Arial" w:cs="Arial"/>
          <w:sz w:val="18"/>
          <w:szCs w:val="18"/>
        </w:rPr>
        <w:t xml:space="preserve"> </w:t>
      </w:r>
      <w:r>
        <w:rPr>
          <w:rFonts w:ascii="Arial" w:hAnsi="Arial" w:cs="Arial"/>
          <w:sz w:val="18"/>
          <w:szCs w:val="18"/>
        </w:rPr>
        <w:t>je sledován od roku 2019. J</w:t>
      </w:r>
      <w:r w:rsidRPr="00875948">
        <w:rPr>
          <w:rFonts w:ascii="Arial" w:hAnsi="Arial" w:cs="Arial"/>
          <w:sz w:val="18"/>
          <w:szCs w:val="18"/>
        </w:rPr>
        <w:t>e založen na odlišné metodice výpočtu, než jakou používá ČKP. Jeho hodnota nevychází z průměru hodnot celé řady veličin, a</w:t>
      </w:r>
      <w:r>
        <w:rPr>
          <w:rFonts w:ascii="Arial" w:hAnsi="Arial" w:cs="Arial"/>
          <w:sz w:val="18"/>
          <w:szCs w:val="18"/>
        </w:rPr>
        <w:t xml:space="preserve">le z menšího množství parametrů. POVIndex </w:t>
      </w:r>
      <w:r w:rsidRPr="00F9094E">
        <w:rPr>
          <w:rFonts w:ascii="Arial" w:hAnsi="Arial" w:cs="Arial"/>
          <w:sz w:val="18"/>
          <w:szCs w:val="18"/>
        </w:rPr>
        <w:t>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w:t>
      </w:r>
      <w:r w:rsidRPr="00875948">
        <w:rPr>
          <w:rFonts w:ascii="Arial" w:hAnsi="Arial" w:cs="Arial"/>
          <w:sz w:val="18"/>
          <w:szCs w:val="18"/>
        </w:rPr>
        <w:t xml:space="preserve"> </w:t>
      </w:r>
    </w:p>
    <w:p w14:paraId="54A95067" w14:textId="77777777" w:rsidR="00A51DB8" w:rsidRPr="00F9094E" w:rsidRDefault="00A51DB8" w:rsidP="00D45B0E">
      <w:pPr>
        <w:pStyle w:val="Zkladntext"/>
        <w:spacing w:before="33" w:line="237" w:lineRule="auto"/>
        <w:ind w:right="-11"/>
        <w:jc w:val="both"/>
        <w:rPr>
          <w:noProof/>
          <w:sz w:val="18"/>
          <w:szCs w:val="18"/>
          <w:lang w:bidi="ar-SA"/>
        </w:rPr>
      </w:pPr>
    </w:p>
    <w:p w14:paraId="68A3F048" w14:textId="197A2B1D" w:rsidR="00404CDA" w:rsidRDefault="00404CDA" w:rsidP="00D45B0E">
      <w:pPr>
        <w:pStyle w:val="Normlnweb"/>
        <w:shd w:val="clear" w:color="auto" w:fill="FFFFFF"/>
        <w:spacing w:before="225" w:beforeAutospacing="0" w:after="225" w:afterAutospacing="0"/>
        <w:ind w:right="-11"/>
        <w:jc w:val="both"/>
        <w:rPr>
          <w:rFonts w:ascii="Arial" w:hAnsi="Arial" w:cs="Arial"/>
          <w:color w:val="000000" w:themeColor="text1"/>
          <w:sz w:val="22"/>
          <w:szCs w:val="22"/>
        </w:rPr>
      </w:pPr>
    </w:p>
    <w:p w14:paraId="7966D3DF" w14:textId="77777777" w:rsidR="00DE7CE1" w:rsidRPr="00DE7CE1" w:rsidRDefault="00866220" w:rsidP="00357A84">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357A84">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357A84">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357A84">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2F524F75" w14:textId="624900FE" w:rsidR="00866220" w:rsidRPr="00DE7CE1" w:rsidRDefault="00866220" w:rsidP="00357A84">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6"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3C3B347D" w14:textId="4659623F" w:rsidR="004C7BB5" w:rsidRDefault="004C7BB5" w:rsidP="00357A84">
      <w:pPr>
        <w:rPr>
          <w:rFonts w:ascii="Arial" w:eastAsia="Calibri" w:hAnsi="Arial" w:cs="Arial"/>
          <w:noProof/>
          <w:sz w:val="18"/>
          <w:szCs w:val="18"/>
        </w:rPr>
      </w:pPr>
    </w:p>
    <w:p w14:paraId="6FC0F9F5" w14:textId="4E60524C" w:rsidR="004C7BB5" w:rsidRPr="00D82E2D" w:rsidRDefault="004C7BB5" w:rsidP="00357A84">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C535B">
      <w:type w:val="continuous"/>
      <w:pgSz w:w="11910" w:h="16840"/>
      <w:pgMar w:top="1985" w:right="853"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7469A" w14:textId="77777777" w:rsidR="001C147F" w:rsidRDefault="001C147F">
      <w:r>
        <w:separator/>
      </w:r>
    </w:p>
  </w:endnote>
  <w:endnote w:type="continuationSeparator" w:id="0">
    <w:p w14:paraId="5F0ED4BB" w14:textId="77777777" w:rsidR="001C147F" w:rsidRDefault="001C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1C147F"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14388A"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1C147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14388A"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1C147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14388A"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BF0EE" w14:textId="77777777" w:rsidR="001C147F" w:rsidRDefault="001C147F">
      <w:r>
        <w:separator/>
      </w:r>
    </w:p>
  </w:footnote>
  <w:footnote w:type="continuationSeparator" w:id="0">
    <w:p w14:paraId="01E6828D" w14:textId="77777777" w:rsidR="001C147F" w:rsidRDefault="001C1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53FB"/>
    <w:rsid w:val="000262FD"/>
    <w:rsid w:val="00026F23"/>
    <w:rsid w:val="00032AD6"/>
    <w:rsid w:val="00032D94"/>
    <w:rsid w:val="000374D7"/>
    <w:rsid w:val="0004360D"/>
    <w:rsid w:val="000504BA"/>
    <w:rsid w:val="0005423A"/>
    <w:rsid w:val="00062E18"/>
    <w:rsid w:val="00066A72"/>
    <w:rsid w:val="00067BA6"/>
    <w:rsid w:val="00076845"/>
    <w:rsid w:val="00076C44"/>
    <w:rsid w:val="00076F32"/>
    <w:rsid w:val="000866C0"/>
    <w:rsid w:val="00091509"/>
    <w:rsid w:val="000B7F6C"/>
    <w:rsid w:val="000C351D"/>
    <w:rsid w:val="000C38CB"/>
    <w:rsid w:val="000C53D6"/>
    <w:rsid w:val="000D2DDE"/>
    <w:rsid w:val="000D333C"/>
    <w:rsid w:val="000D6870"/>
    <w:rsid w:val="000E286C"/>
    <w:rsid w:val="000F47AE"/>
    <w:rsid w:val="000F6249"/>
    <w:rsid w:val="00100869"/>
    <w:rsid w:val="00107E00"/>
    <w:rsid w:val="00114D66"/>
    <w:rsid w:val="00115CF8"/>
    <w:rsid w:val="00116173"/>
    <w:rsid w:val="00116A29"/>
    <w:rsid w:val="0012713E"/>
    <w:rsid w:val="0013044E"/>
    <w:rsid w:val="00131F7B"/>
    <w:rsid w:val="0013512D"/>
    <w:rsid w:val="00136D21"/>
    <w:rsid w:val="00137003"/>
    <w:rsid w:val="00141303"/>
    <w:rsid w:val="001434CE"/>
    <w:rsid w:val="0014388A"/>
    <w:rsid w:val="00153161"/>
    <w:rsid w:val="00156450"/>
    <w:rsid w:val="00160060"/>
    <w:rsid w:val="001603AF"/>
    <w:rsid w:val="001722EA"/>
    <w:rsid w:val="00177E6B"/>
    <w:rsid w:val="0018139F"/>
    <w:rsid w:val="00194628"/>
    <w:rsid w:val="00197408"/>
    <w:rsid w:val="00197DE5"/>
    <w:rsid w:val="001A210B"/>
    <w:rsid w:val="001A54DD"/>
    <w:rsid w:val="001A6070"/>
    <w:rsid w:val="001B195D"/>
    <w:rsid w:val="001B1C05"/>
    <w:rsid w:val="001B5A35"/>
    <w:rsid w:val="001B5D34"/>
    <w:rsid w:val="001B79AC"/>
    <w:rsid w:val="001C147F"/>
    <w:rsid w:val="001C4A67"/>
    <w:rsid w:val="001E68DE"/>
    <w:rsid w:val="002048EA"/>
    <w:rsid w:val="002108A4"/>
    <w:rsid w:val="00214949"/>
    <w:rsid w:val="002238B0"/>
    <w:rsid w:val="002333DA"/>
    <w:rsid w:val="0023472C"/>
    <w:rsid w:val="00237D4E"/>
    <w:rsid w:val="00241313"/>
    <w:rsid w:val="002462DA"/>
    <w:rsid w:val="002506AD"/>
    <w:rsid w:val="0025264B"/>
    <w:rsid w:val="00267A14"/>
    <w:rsid w:val="00270DB3"/>
    <w:rsid w:val="00271C30"/>
    <w:rsid w:val="002726C3"/>
    <w:rsid w:val="0027474A"/>
    <w:rsid w:val="0028080D"/>
    <w:rsid w:val="00287114"/>
    <w:rsid w:val="002A2FB9"/>
    <w:rsid w:val="002A7AE9"/>
    <w:rsid w:val="002B053B"/>
    <w:rsid w:val="002B3EE0"/>
    <w:rsid w:val="002B5B4B"/>
    <w:rsid w:val="002C635D"/>
    <w:rsid w:val="002E2785"/>
    <w:rsid w:val="002E27C5"/>
    <w:rsid w:val="002F0335"/>
    <w:rsid w:val="002F0C79"/>
    <w:rsid w:val="002F6814"/>
    <w:rsid w:val="00302AE6"/>
    <w:rsid w:val="00303C85"/>
    <w:rsid w:val="0030477F"/>
    <w:rsid w:val="00307D0F"/>
    <w:rsid w:val="003128F8"/>
    <w:rsid w:val="0032274C"/>
    <w:rsid w:val="00325CD8"/>
    <w:rsid w:val="00326268"/>
    <w:rsid w:val="00330918"/>
    <w:rsid w:val="003473B3"/>
    <w:rsid w:val="00347557"/>
    <w:rsid w:val="00352433"/>
    <w:rsid w:val="0035286E"/>
    <w:rsid w:val="00356FFC"/>
    <w:rsid w:val="00357A84"/>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F38E5"/>
    <w:rsid w:val="003F73C3"/>
    <w:rsid w:val="00404CDA"/>
    <w:rsid w:val="0041224F"/>
    <w:rsid w:val="00415BA7"/>
    <w:rsid w:val="00416F40"/>
    <w:rsid w:val="00422B4E"/>
    <w:rsid w:val="0042625B"/>
    <w:rsid w:val="0043263D"/>
    <w:rsid w:val="004349B6"/>
    <w:rsid w:val="004413A6"/>
    <w:rsid w:val="00445D0A"/>
    <w:rsid w:val="00453482"/>
    <w:rsid w:val="00453CFE"/>
    <w:rsid w:val="00467207"/>
    <w:rsid w:val="004809C7"/>
    <w:rsid w:val="00483A48"/>
    <w:rsid w:val="0048779A"/>
    <w:rsid w:val="00493430"/>
    <w:rsid w:val="00495519"/>
    <w:rsid w:val="00496EFA"/>
    <w:rsid w:val="004A245D"/>
    <w:rsid w:val="004A2E7A"/>
    <w:rsid w:val="004B09D9"/>
    <w:rsid w:val="004B73DC"/>
    <w:rsid w:val="004C3C0D"/>
    <w:rsid w:val="004C4033"/>
    <w:rsid w:val="004C798D"/>
    <w:rsid w:val="004C7BB5"/>
    <w:rsid w:val="004E1108"/>
    <w:rsid w:val="004E3877"/>
    <w:rsid w:val="004F5CC5"/>
    <w:rsid w:val="00520EA0"/>
    <w:rsid w:val="0052399F"/>
    <w:rsid w:val="00524214"/>
    <w:rsid w:val="0052748B"/>
    <w:rsid w:val="005336E7"/>
    <w:rsid w:val="00543BFB"/>
    <w:rsid w:val="00543F98"/>
    <w:rsid w:val="00547816"/>
    <w:rsid w:val="005733BD"/>
    <w:rsid w:val="0057359A"/>
    <w:rsid w:val="005773EE"/>
    <w:rsid w:val="00580D50"/>
    <w:rsid w:val="00581D28"/>
    <w:rsid w:val="00587B4C"/>
    <w:rsid w:val="0059081F"/>
    <w:rsid w:val="00592071"/>
    <w:rsid w:val="00596E22"/>
    <w:rsid w:val="005A61D5"/>
    <w:rsid w:val="005A6E1C"/>
    <w:rsid w:val="005A75AE"/>
    <w:rsid w:val="005B13F7"/>
    <w:rsid w:val="005B581C"/>
    <w:rsid w:val="005D5B42"/>
    <w:rsid w:val="005E1D8B"/>
    <w:rsid w:val="005E443E"/>
    <w:rsid w:val="005E4C96"/>
    <w:rsid w:val="005F31C1"/>
    <w:rsid w:val="006033BD"/>
    <w:rsid w:val="00624C21"/>
    <w:rsid w:val="00640494"/>
    <w:rsid w:val="00646D74"/>
    <w:rsid w:val="00650902"/>
    <w:rsid w:val="0065153C"/>
    <w:rsid w:val="006618CF"/>
    <w:rsid w:val="006652BA"/>
    <w:rsid w:val="006676D9"/>
    <w:rsid w:val="00673898"/>
    <w:rsid w:val="0067482F"/>
    <w:rsid w:val="00675503"/>
    <w:rsid w:val="00682B2C"/>
    <w:rsid w:val="006849F6"/>
    <w:rsid w:val="00684D30"/>
    <w:rsid w:val="006856FF"/>
    <w:rsid w:val="006863D8"/>
    <w:rsid w:val="00695EEC"/>
    <w:rsid w:val="006A48C7"/>
    <w:rsid w:val="006B7FBE"/>
    <w:rsid w:val="006C2E50"/>
    <w:rsid w:val="006C6246"/>
    <w:rsid w:val="006C7AE7"/>
    <w:rsid w:val="006D5A9A"/>
    <w:rsid w:val="006E1F02"/>
    <w:rsid w:val="0072349E"/>
    <w:rsid w:val="007253E3"/>
    <w:rsid w:val="007255CD"/>
    <w:rsid w:val="007334EA"/>
    <w:rsid w:val="00735F36"/>
    <w:rsid w:val="00737025"/>
    <w:rsid w:val="00737FB2"/>
    <w:rsid w:val="0075063F"/>
    <w:rsid w:val="00763554"/>
    <w:rsid w:val="007652AE"/>
    <w:rsid w:val="007668F5"/>
    <w:rsid w:val="00781039"/>
    <w:rsid w:val="00786A7F"/>
    <w:rsid w:val="007B0579"/>
    <w:rsid w:val="007D22BA"/>
    <w:rsid w:val="007D4A60"/>
    <w:rsid w:val="007D67A6"/>
    <w:rsid w:val="007E30B0"/>
    <w:rsid w:val="007E37C0"/>
    <w:rsid w:val="007E6279"/>
    <w:rsid w:val="007F68DC"/>
    <w:rsid w:val="007F6C2A"/>
    <w:rsid w:val="008020D3"/>
    <w:rsid w:val="00804869"/>
    <w:rsid w:val="00804908"/>
    <w:rsid w:val="0080704C"/>
    <w:rsid w:val="008120DB"/>
    <w:rsid w:val="00813665"/>
    <w:rsid w:val="00815ECC"/>
    <w:rsid w:val="00835736"/>
    <w:rsid w:val="00837AF9"/>
    <w:rsid w:val="00854470"/>
    <w:rsid w:val="00861B39"/>
    <w:rsid w:val="00864D3B"/>
    <w:rsid w:val="00866220"/>
    <w:rsid w:val="008672D5"/>
    <w:rsid w:val="00870A8D"/>
    <w:rsid w:val="00874C32"/>
    <w:rsid w:val="00882EAC"/>
    <w:rsid w:val="00887004"/>
    <w:rsid w:val="00892BA9"/>
    <w:rsid w:val="008A04D3"/>
    <w:rsid w:val="008B6A2A"/>
    <w:rsid w:val="008C3AC7"/>
    <w:rsid w:val="008C5342"/>
    <w:rsid w:val="008C692E"/>
    <w:rsid w:val="008C7A52"/>
    <w:rsid w:val="008D4344"/>
    <w:rsid w:val="008E0C1C"/>
    <w:rsid w:val="008E5FF5"/>
    <w:rsid w:val="00906147"/>
    <w:rsid w:val="0091561E"/>
    <w:rsid w:val="00915ADA"/>
    <w:rsid w:val="00917467"/>
    <w:rsid w:val="00922831"/>
    <w:rsid w:val="00931474"/>
    <w:rsid w:val="0093538A"/>
    <w:rsid w:val="009362DC"/>
    <w:rsid w:val="0093761E"/>
    <w:rsid w:val="00937EF5"/>
    <w:rsid w:val="00960235"/>
    <w:rsid w:val="009612EF"/>
    <w:rsid w:val="00962D05"/>
    <w:rsid w:val="0096488C"/>
    <w:rsid w:val="00965007"/>
    <w:rsid w:val="00967EDE"/>
    <w:rsid w:val="009706CE"/>
    <w:rsid w:val="00976A70"/>
    <w:rsid w:val="00982774"/>
    <w:rsid w:val="00986C46"/>
    <w:rsid w:val="009A6BB3"/>
    <w:rsid w:val="009B4FF9"/>
    <w:rsid w:val="009C0793"/>
    <w:rsid w:val="009C0ECA"/>
    <w:rsid w:val="009C1B84"/>
    <w:rsid w:val="009C535B"/>
    <w:rsid w:val="009C7478"/>
    <w:rsid w:val="009D23D9"/>
    <w:rsid w:val="009D2988"/>
    <w:rsid w:val="009D556F"/>
    <w:rsid w:val="009E3060"/>
    <w:rsid w:val="009E317D"/>
    <w:rsid w:val="009F2CB2"/>
    <w:rsid w:val="009F59EE"/>
    <w:rsid w:val="00A00614"/>
    <w:rsid w:val="00A06687"/>
    <w:rsid w:val="00A15C5F"/>
    <w:rsid w:val="00A1706A"/>
    <w:rsid w:val="00A2129E"/>
    <w:rsid w:val="00A267CE"/>
    <w:rsid w:val="00A34404"/>
    <w:rsid w:val="00A351F4"/>
    <w:rsid w:val="00A36D79"/>
    <w:rsid w:val="00A51DB8"/>
    <w:rsid w:val="00A526C9"/>
    <w:rsid w:val="00A52E40"/>
    <w:rsid w:val="00A538B7"/>
    <w:rsid w:val="00A661EE"/>
    <w:rsid w:val="00A672EA"/>
    <w:rsid w:val="00A67865"/>
    <w:rsid w:val="00A706DB"/>
    <w:rsid w:val="00A73F68"/>
    <w:rsid w:val="00A85069"/>
    <w:rsid w:val="00A902B4"/>
    <w:rsid w:val="00A90464"/>
    <w:rsid w:val="00AA1EF9"/>
    <w:rsid w:val="00AA3C5C"/>
    <w:rsid w:val="00AC0B97"/>
    <w:rsid w:val="00AC14FC"/>
    <w:rsid w:val="00AC1B87"/>
    <w:rsid w:val="00AD3089"/>
    <w:rsid w:val="00AE4CC4"/>
    <w:rsid w:val="00AE662F"/>
    <w:rsid w:val="00AE7AFA"/>
    <w:rsid w:val="00AF080F"/>
    <w:rsid w:val="00AF0BE0"/>
    <w:rsid w:val="00AF2D1B"/>
    <w:rsid w:val="00B00B35"/>
    <w:rsid w:val="00B03608"/>
    <w:rsid w:val="00B0598D"/>
    <w:rsid w:val="00B066DB"/>
    <w:rsid w:val="00B0741A"/>
    <w:rsid w:val="00B15FD4"/>
    <w:rsid w:val="00B177AF"/>
    <w:rsid w:val="00B21A92"/>
    <w:rsid w:val="00B21D7F"/>
    <w:rsid w:val="00B244B9"/>
    <w:rsid w:val="00B24AB2"/>
    <w:rsid w:val="00B26C1E"/>
    <w:rsid w:val="00B30195"/>
    <w:rsid w:val="00B3074F"/>
    <w:rsid w:val="00B34562"/>
    <w:rsid w:val="00B41012"/>
    <w:rsid w:val="00B45ED0"/>
    <w:rsid w:val="00B45F71"/>
    <w:rsid w:val="00B52B36"/>
    <w:rsid w:val="00B6512E"/>
    <w:rsid w:val="00B65A3B"/>
    <w:rsid w:val="00B708C9"/>
    <w:rsid w:val="00B70A80"/>
    <w:rsid w:val="00B7116F"/>
    <w:rsid w:val="00B714D3"/>
    <w:rsid w:val="00B777C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02AD"/>
    <w:rsid w:val="00BE127F"/>
    <w:rsid w:val="00BE34DD"/>
    <w:rsid w:val="00BF4FA6"/>
    <w:rsid w:val="00C00860"/>
    <w:rsid w:val="00C05509"/>
    <w:rsid w:val="00C12B80"/>
    <w:rsid w:val="00C16A07"/>
    <w:rsid w:val="00C306CA"/>
    <w:rsid w:val="00C35BFC"/>
    <w:rsid w:val="00C36818"/>
    <w:rsid w:val="00C36AC8"/>
    <w:rsid w:val="00C36E73"/>
    <w:rsid w:val="00C40157"/>
    <w:rsid w:val="00C42096"/>
    <w:rsid w:val="00C505D4"/>
    <w:rsid w:val="00C50A39"/>
    <w:rsid w:val="00C5726E"/>
    <w:rsid w:val="00C6048F"/>
    <w:rsid w:val="00C64B40"/>
    <w:rsid w:val="00C7462C"/>
    <w:rsid w:val="00C85AB7"/>
    <w:rsid w:val="00C9589D"/>
    <w:rsid w:val="00CA3FE4"/>
    <w:rsid w:val="00CB1985"/>
    <w:rsid w:val="00CB31FF"/>
    <w:rsid w:val="00CB7416"/>
    <w:rsid w:val="00CC32D9"/>
    <w:rsid w:val="00CC5BEB"/>
    <w:rsid w:val="00CC7C89"/>
    <w:rsid w:val="00CD3324"/>
    <w:rsid w:val="00CD3C1E"/>
    <w:rsid w:val="00CD5C1C"/>
    <w:rsid w:val="00CE2578"/>
    <w:rsid w:val="00CF10DA"/>
    <w:rsid w:val="00CF2718"/>
    <w:rsid w:val="00CF3762"/>
    <w:rsid w:val="00D01832"/>
    <w:rsid w:val="00D132FF"/>
    <w:rsid w:val="00D21B27"/>
    <w:rsid w:val="00D22A67"/>
    <w:rsid w:val="00D245D2"/>
    <w:rsid w:val="00D25B0B"/>
    <w:rsid w:val="00D31127"/>
    <w:rsid w:val="00D423AD"/>
    <w:rsid w:val="00D45B0E"/>
    <w:rsid w:val="00D46528"/>
    <w:rsid w:val="00D46E13"/>
    <w:rsid w:val="00D4733D"/>
    <w:rsid w:val="00D53085"/>
    <w:rsid w:val="00D63DD3"/>
    <w:rsid w:val="00D80B6D"/>
    <w:rsid w:val="00D82E2D"/>
    <w:rsid w:val="00D8513A"/>
    <w:rsid w:val="00D87CCE"/>
    <w:rsid w:val="00DA327C"/>
    <w:rsid w:val="00DA576C"/>
    <w:rsid w:val="00DB365A"/>
    <w:rsid w:val="00DB4335"/>
    <w:rsid w:val="00DC6AB6"/>
    <w:rsid w:val="00DD1EC1"/>
    <w:rsid w:val="00DE448F"/>
    <w:rsid w:val="00DE4608"/>
    <w:rsid w:val="00DE7CE1"/>
    <w:rsid w:val="00DF006F"/>
    <w:rsid w:val="00DF2A53"/>
    <w:rsid w:val="00DF388B"/>
    <w:rsid w:val="00DF4C4D"/>
    <w:rsid w:val="00E04F7B"/>
    <w:rsid w:val="00E121F2"/>
    <w:rsid w:val="00E16FE8"/>
    <w:rsid w:val="00E17539"/>
    <w:rsid w:val="00E343B0"/>
    <w:rsid w:val="00E364A9"/>
    <w:rsid w:val="00E400AA"/>
    <w:rsid w:val="00E57D1A"/>
    <w:rsid w:val="00E60E78"/>
    <w:rsid w:val="00E669EF"/>
    <w:rsid w:val="00E67800"/>
    <w:rsid w:val="00E71D31"/>
    <w:rsid w:val="00E72BA8"/>
    <w:rsid w:val="00E804FF"/>
    <w:rsid w:val="00E83CCD"/>
    <w:rsid w:val="00E847E6"/>
    <w:rsid w:val="00E90FB8"/>
    <w:rsid w:val="00E938B3"/>
    <w:rsid w:val="00E9495C"/>
    <w:rsid w:val="00EA47AD"/>
    <w:rsid w:val="00EB06C5"/>
    <w:rsid w:val="00EB26B3"/>
    <w:rsid w:val="00EB4375"/>
    <w:rsid w:val="00EB5B94"/>
    <w:rsid w:val="00EF62F8"/>
    <w:rsid w:val="00F040CA"/>
    <w:rsid w:val="00F04FF5"/>
    <w:rsid w:val="00F06420"/>
    <w:rsid w:val="00F06844"/>
    <w:rsid w:val="00F161D2"/>
    <w:rsid w:val="00F257ED"/>
    <w:rsid w:val="00F27366"/>
    <w:rsid w:val="00F30BB8"/>
    <w:rsid w:val="00F33E63"/>
    <w:rsid w:val="00F35F32"/>
    <w:rsid w:val="00F366A6"/>
    <w:rsid w:val="00F37E08"/>
    <w:rsid w:val="00F44AEB"/>
    <w:rsid w:val="00F45620"/>
    <w:rsid w:val="00F52462"/>
    <w:rsid w:val="00F542F8"/>
    <w:rsid w:val="00F655E3"/>
    <w:rsid w:val="00F739AD"/>
    <w:rsid w:val="00F76B0E"/>
    <w:rsid w:val="00F95B39"/>
    <w:rsid w:val="00FA0F28"/>
    <w:rsid w:val="00FA1AF3"/>
    <w:rsid w:val="00FB551F"/>
    <w:rsid w:val="00FB7593"/>
    <w:rsid w:val="00FC1254"/>
    <w:rsid w:val="00FC33AA"/>
    <w:rsid w:val="00FD5578"/>
    <w:rsid w:val="00FE3A27"/>
    <w:rsid w:val="00FE6DB7"/>
    <w:rsid w:val="00FE7E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4808633">
      <w:bodyDiv w:val="1"/>
      <w:marLeft w:val="0"/>
      <w:marRight w:val="0"/>
      <w:marTop w:val="0"/>
      <w:marBottom w:val="0"/>
      <w:divBdr>
        <w:top w:val="none" w:sz="0" w:space="0" w:color="auto"/>
        <w:left w:val="none" w:sz="0" w:space="0" w:color="auto"/>
        <w:bottom w:val="none" w:sz="0" w:space="0" w:color="auto"/>
        <w:right w:val="none" w:sz="0" w:space="0" w:color="auto"/>
      </w:divBdr>
      <w:divsChild>
        <w:div w:id="1543325679">
          <w:marLeft w:val="0"/>
          <w:marRight w:val="0"/>
          <w:marTop w:val="0"/>
          <w:marBottom w:val="0"/>
          <w:divBdr>
            <w:top w:val="none" w:sz="0" w:space="0" w:color="auto"/>
            <w:left w:val="none" w:sz="0" w:space="0" w:color="auto"/>
            <w:bottom w:val="none" w:sz="0" w:space="0" w:color="auto"/>
            <w:right w:val="none" w:sz="0" w:space="0" w:color="auto"/>
          </w:divBdr>
        </w:div>
      </w:divsChild>
    </w:div>
    <w:div w:id="846944215">
      <w:bodyDiv w:val="1"/>
      <w:marLeft w:val="0"/>
      <w:marRight w:val="0"/>
      <w:marTop w:val="0"/>
      <w:marBottom w:val="0"/>
      <w:divBdr>
        <w:top w:val="none" w:sz="0" w:space="0" w:color="auto"/>
        <w:left w:val="none" w:sz="0" w:space="0" w:color="auto"/>
        <w:bottom w:val="none" w:sz="0" w:space="0" w:color="auto"/>
        <w:right w:val="none" w:sz="0" w:space="0" w:color="auto"/>
      </w:divBdr>
      <w:divsChild>
        <w:div w:id="734936560">
          <w:marLeft w:val="0"/>
          <w:marRight w:val="0"/>
          <w:marTop w:val="0"/>
          <w:marBottom w:val="0"/>
          <w:divBdr>
            <w:top w:val="none" w:sz="0" w:space="0" w:color="auto"/>
            <w:left w:val="none" w:sz="0" w:space="0" w:color="auto"/>
            <w:bottom w:val="none" w:sz="0" w:space="0" w:color="auto"/>
            <w:right w:val="none" w:sz="0" w:space="0" w:color="auto"/>
          </w:divBdr>
        </w:div>
      </w:divsChild>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63414522">
      <w:bodyDiv w:val="1"/>
      <w:marLeft w:val="0"/>
      <w:marRight w:val="0"/>
      <w:marTop w:val="0"/>
      <w:marBottom w:val="0"/>
      <w:divBdr>
        <w:top w:val="none" w:sz="0" w:space="0" w:color="auto"/>
        <w:left w:val="none" w:sz="0" w:space="0" w:color="auto"/>
        <w:bottom w:val="none" w:sz="0" w:space="0" w:color="auto"/>
        <w:right w:val="none" w:sz="0" w:space="0" w:color="auto"/>
      </w:divBdr>
      <w:divsChild>
        <w:div w:id="1383821423">
          <w:marLeft w:val="0"/>
          <w:marRight w:val="0"/>
          <w:marTop w:val="0"/>
          <w:marBottom w:val="0"/>
          <w:divBdr>
            <w:top w:val="none" w:sz="0" w:space="0" w:color="auto"/>
            <w:left w:val="none" w:sz="0" w:space="0" w:color="auto"/>
            <w:bottom w:val="none" w:sz="0" w:space="0" w:color="auto"/>
            <w:right w:val="none" w:sz="0" w:space="0" w:color="auto"/>
          </w:divBdr>
        </w:div>
      </w:divsChild>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www.ckp.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vachal\Desktop\POV%20index\POVindex_07_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b="1">
                <a:solidFill>
                  <a:sysClr val="windowText" lastClr="000000"/>
                </a:solidFill>
              </a:rPr>
              <a:t>Vývoj Broker Consulting POVIndexu od srpna 2019</a:t>
            </a:r>
          </a:p>
        </c:rich>
      </c:tx>
      <c:layout>
        <c:manualLayout>
          <c:xMode val="edge"/>
          <c:yMode val="edge"/>
          <c:x val="0.1633985095966709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8.5743309456685332E-2"/>
          <c:y val="0.11881745451555555"/>
          <c:w val="0.90657217724352501"/>
          <c:h val="0.72834508900474437"/>
        </c:manualLayout>
      </c:layout>
      <c:lineChart>
        <c:grouping val="standard"/>
        <c:varyColors val="0"/>
        <c:ser>
          <c:idx val="0"/>
          <c:order val="0"/>
          <c:spPr>
            <a:ln w="28575" cap="rnd">
              <a:solidFill>
                <a:srgbClr val="FF0000"/>
              </a:solidFill>
              <a:round/>
            </a:ln>
            <a:effectLst/>
          </c:spPr>
          <c:marker>
            <c:symbol val="circle"/>
            <c:size val="5"/>
            <c:spPr>
              <a:solidFill>
                <a:schemeClr val="accent1"/>
              </a:solidFill>
              <a:ln w="9525">
                <a:solidFill>
                  <a:schemeClr val="accent1"/>
                </a:solidFill>
              </a:ln>
              <a:effectLst/>
            </c:spPr>
          </c:marker>
          <c:dLbls>
            <c:dLbl>
              <c:idx val="0"/>
              <c:layout>
                <c:manualLayout>
                  <c:x val="-2.5419885298511045E-2"/>
                  <c:y val="-5.2892403227921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6C-49F1-8D8A-93BE3456CD2C}"/>
                </c:ext>
              </c:extLst>
            </c:dLbl>
            <c:dLbl>
              <c:idx val="1"/>
              <c:layout>
                <c:manualLayout>
                  <c:x val="-4.5781722868466539E-2"/>
                  <c:y val="7.0991741795822322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7569 Kč</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1534804642599513E-2"/>
                      <c:h val="6.2085589055062701E-2"/>
                    </c:manualLayout>
                  </c15:layout>
                </c:ext>
                <c:ext xmlns:c16="http://schemas.microsoft.com/office/drawing/2014/chart" uri="{C3380CC4-5D6E-409C-BE32-E72D297353CC}">
                  <c16:uniqueId val="{00000001-426C-49F1-8D8A-93BE3456CD2C}"/>
                </c:ext>
              </c:extLst>
            </c:dLbl>
            <c:dLbl>
              <c:idx val="2"/>
              <c:layout>
                <c:manualLayout>
                  <c:x val="-2.6882256918233486E-2"/>
                  <c:y val="-6.2559175176994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6C-49F1-8D8A-93BE3456CD2C}"/>
                </c:ext>
              </c:extLst>
            </c:dLbl>
            <c:dLbl>
              <c:idx val="3"/>
              <c:layout>
                <c:manualLayout>
                  <c:x val="-3.8894149066231766E-2"/>
                  <c:y val="4.5178342854926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6C-49F1-8D8A-93BE3456CD2C}"/>
                </c:ext>
              </c:extLst>
            </c:dLbl>
            <c:dLbl>
              <c:idx val="4"/>
              <c:layout>
                <c:manualLayout>
                  <c:x val="-2.7936155546876042E-2"/>
                  <c:y val="-3.0023501855534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6C-49F1-8D8A-93BE3456CD2C}"/>
                </c:ext>
              </c:extLst>
            </c:dLbl>
            <c:dLbl>
              <c:idx val="5"/>
              <c:layout>
                <c:manualLayout>
                  <c:x val="-4.8527459268326717E-2"/>
                  <c:y val="5.7746476271746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6C-49F1-8D8A-93BE3456CD2C}"/>
                </c:ext>
              </c:extLst>
            </c:dLbl>
            <c:dLbl>
              <c:idx val="6"/>
              <c:layout>
                <c:manualLayout>
                  <c:x val="-3.4873579276035439E-2"/>
                  <c:y val="-4.0673364105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6C-49F1-8D8A-93BE3456CD2C}"/>
                </c:ext>
              </c:extLst>
            </c:dLbl>
            <c:dLbl>
              <c:idx val="7"/>
              <c:layout>
                <c:manualLayout>
                  <c:x val="-3.855295334242359E-2"/>
                  <c:y val="4.3924330244553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6C-49F1-8D8A-93BE3456CD2C}"/>
                </c:ext>
              </c:extLst>
            </c:dLbl>
            <c:dLbl>
              <c:idx val="8"/>
              <c:layout>
                <c:manualLayout>
                  <c:x val="-2.7012360612706135E-2"/>
                  <c:y val="-4.7547381700440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6C-49F1-8D8A-93BE3456CD2C}"/>
                </c:ext>
              </c:extLst>
            </c:dLbl>
            <c:dLbl>
              <c:idx val="9"/>
              <c:layout>
                <c:manualLayout>
                  <c:x val="-5.6495396477297746E-2"/>
                  <c:y val="6.735247995478393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6545877558468413E-2"/>
                      <c:h val="6.4745266555526093E-2"/>
                    </c:manualLayout>
                  </c15:layout>
                </c:ext>
                <c:ext xmlns:c16="http://schemas.microsoft.com/office/drawing/2014/chart" uri="{C3380CC4-5D6E-409C-BE32-E72D297353CC}">
                  <c16:uniqueId val="{00000009-426C-49F1-8D8A-93BE3456CD2C}"/>
                </c:ext>
              </c:extLst>
            </c:dLbl>
            <c:dLbl>
              <c:idx val="10"/>
              <c:layout>
                <c:manualLayout>
                  <c:x val="-2.6345388745725735E-2"/>
                  <c:y val="-9.538807649043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6C-49F1-8D8A-93BE3456CD2C}"/>
                </c:ext>
              </c:extLst>
            </c:dLbl>
            <c:dLbl>
              <c:idx val="11"/>
              <c:layout>
                <c:manualLayout>
                  <c:x val="-3.6147955627632254E-2"/>
                  <c:y val="6.5614581428552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6C-49F1-8D8A-93BE3456CD2C}"/>
                </c:ext>
              </c:extLst>
            </c:dLbl>
            <c:dLbl>
              <c:idx val="12"/>
              <c:layout>
                <c:manualLayout>
                  <c:x val="-3.9152223607726695E-2"/>
                  <c:y val="-4.1091907846494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6C-49F1-8D8A-93BE3456CD2C}"/>
                </c:ext>
              </c:extLst>
            </c:dLbl>
            <c:dLbl>
              <c:idx val="13"/>
              <c:layout>
                <c:manualLayout>
                  <c:x val="-2.6173115777962528E-2"/>
                  <c:y val="6.0243599183469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6C-49F1-8D8A-93BE3456CD2C}"/>
                </c:ext>
              </c:extLst>
            </c:dLbl>
            <c:dLbl>
              <c:idx val="14"/>
              <c:layout>
                <c:manualLayout>
                  <c:x val="-3.4490580812447366E-2"/>
                  <c:y val="-8.773533850140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6C-49F1-8D8A-93BE3456CD2C}"/>
                </c:ext>
              </c:extLst>
            </c:dLbl>
            <c:dLbl>
              <c:idx val="15"/>
              <c:layout>
                <c:manualLayout>
                  <c:x val="-2.7874488021395648E-2"/>
                  <c:y val="3.6815595094948105E-2"/>
                </c:manualLayout>
              </c:layout>
              <c:tx>
                <c:rich>
                  <a:bodyPr/>
                  <a:lstStyle/>
                  <a:p>
                    <a:r>
                      <a:rPr lang="en-US"/>
                      <a:t>6 681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6C-49F1-8D8A-93BE3456CD2C}"/>
                </c:ext>
              </c:extLst>
            </c:dLbl>
            <c:dLbl>
              <c:idx val="16"/>
              <c:layout>
                <c:manualLayout>
                  <c:x val="-3.7280954662518788E-2"/>
                  <c:y val="-3.6815595094948153E-2"/>
                </c:manualLayout>
              </c:layout>
              <c:tx>
                <c:rich>
                  <a:bodyPr/>
                  <a:lstStyle/>
                  <a:p>
                    <a:r>
                      <a:rPr lang="en-US"/>
                      <a:t>6 702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6C-49F1-8D8A-93BE3456CD2C}"/>
                </c:ext>
              </c:extLst>
            </c:dLbl>
            <c:dLbl>
              <c:idx val="17"/>
              <c:layout>
                <c:manualLayout>
                  <c:x val="-4.8574838950974218E-2"/>
                  <c:y val="8.5016466537741892E-2"/>
                </c:manualLayout>
              </c:layout>
              <c:tx>
                <c:rich>
                  <a:bodyPr/>
                  <a:lstStyle/>
                  <a:p>
                    <a:r>
                      <a:rPr lang="en-US"/>
                      <a:t>6 620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6C-49F1-8D8A-93BE3456CD2C}"/>
                </c:ext>
              </c:extLst>
            </c:dLbl>
            <c:dLbl>
              <c:idx val="18"/>
              <c:layout>
                <c:manualLayout>
                  <c:x val="-2.9690538173716346E-2"/>
                  <c:y val="-7.3631065668685505E-2"/>
                </c:manualLayout>
              </c:layout>
              <c:tx>
                <c:rich>
                  <a:bodyPr/>
                  <a:lstStyle/>
                  <a:p>
                    <a:r>
                      <a:rPr lang="en-US"/>
                      <a:t>6 682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6C-49F1-8D8A-93BE3456CD2C}"/>
                </c:ext>
              </c:extLst>
            </c:dLbl>
            <c:dLbl>
              <c:idx val="19"/>
              <c:layout>
                <c:manualLayout>
                  <c:x val="-5.3561131597449421E-2"/>
                  <c:y val="3.8160254598717032E-2"/>
                </c:manualLayout>
              </c:layout>
              <c:tx>
                <c:rich>
                  <a:bodyPr/>
                  <a:lstStyle/>
                  <a:p>
                    <a:r>
                      <a:rPr lang="en-US"/>
                      <a:t>6 522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6C-49F1-8D8A-93BE3456CD2C}"/>
                </c:ext>
              </c:extLst>
            </c:dLbl>
            <c:dLbl>
              <c:idx val="20"/>
              <c:layout>
                <c:manualLayout>
                  <c:x val="-5.1107138259550919E-2"/>
                  <c:y val="-5.889867214874002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6 329 Kč</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8.6353661146908248E-2"/>
                      <c:h val="6.0740929551293774E-2"/>
                    </c:manualLayout>
                  </c15:layout>
                </c:ext>
                <c:ext xmlns:c16="http://schemas.microsoft.com/office/drawing/2014/chart" uri="{C3380CC4-5D6E-409C-BE32-E72D297353CC}">
                  <c16:uniqueId val="{00000014-426C-49F1-8D8A-93BE3456CD2C}"/>
                </c:ext>
              </c:extLst>
            </c:dLbl>
            <c:dLbl>
              <c:idx val="21"/>
              <c:layout>
                <c:manualLayout>
                  <c:x val="-8.7563671209377969E-2"/>
                  <c:y val="8.737737832032074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6 392 Kč</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8.4131386449867784E-2"/>
                      <c:h val="5.8051610543755919E-2"/>
                    </c:manualLayout>
                  </c15:layout>
                </c:ext>
                <c:ext xmlns:c16="http://schemas.microsoft.com/office/drawing/2014/chart" uri="{C3380CC4-5D6E-409C-BE32-E72D297353CC}">
                  <c16:uniqueId val="{00000015-426C-49F1-8D8A-93BE3456CD2C}"/>
                </c:ext>
              </c:extLst>
            </c:dLbl>
            <c:dLbl>
              <c:idx val="22"/>
              <c:layout>
                <c:manualLayout>
                  <c:x val="-3.9798933423929985E-3"/>
                  <c:y val="-5.9929331493661815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6 431 Kč</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8.3859448399945455E-2"/>
                      <c:h val="6.2085589055062701E-2"/>
                    </c:manualLayout>
                  </c15:layout>
                </c:ext>
                <c:ext xmlns:c16="http://schemas.microsoft.com/office/drawing/2014/chart" uri="{C3380CC4-5D6E-409C-BE32-E72D297353CC}">
                  <c16:uniqueId val="{00000016-426C-49F1-8D8A-93BE3456CD2C}"/>
                </c:ext>
              </c:extLst>
            </c:dLbl>
            <c:dLbl>
              <c:idx val="23"/>
              <c:layout>
                <c:manualLayout>
                  <c:x val="-2.7193804992234149E-4"/>
                  <c:y val="6.7968289678075958E-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1050" baseline="0">
                        <a:solidFill>
                          <a:srgbClr val="FF0000"/>
                        </a:solidFill>
                      </a:rPr>
                      <a:t>6 484 Kč</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4060096023839135E-2"/>
                      <c:h val="7.5416558151905871E-2"/>
                    </c:manualLayout>
                  </c15:layout>
                </c:ext>
                <c:ext xmlns:c16="http://schemas.microsoft.com/office/drawing/2014/chart" uri="{C3380CC4-5D6E-409C-BE32-E72D297353CC}">
                  <c16:uniqueId val="{00000017-426C-49F1-8D8A-93BE3456CD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Graf!$A$2:$A$25</c:f>
              <c:strCache>
                <c:ptCount val="24"/>
                <c:pt idx="0">
                  <c:v>8/2019</c:v>
                </c:pt>
                <c:pt idx="1">
                  <c:v>9/2019</c:v>
                </c:pt>
                <c:pt idx="2">
                  <c:v>10/2019</c:v>
                </c:pt>
                <c:pt idx="3">
                  <c:v>11/2019</c:v>
                </c:pt>
                <c:pt idx="4">
                  <c:v>12/2019</c:v>
                </c:pt>
                <c:pt idx="5">
                  <c:v>1/2020</c:v>
                </c:pt>
                <c:pt idx="6">
                  <c:v>2/2020</c:v>
                </c:pt>
                <c:pt idx="7">
                  <c:v>3/2020</c:v>
                </c:pt>
                <c:pt idx="8">
                  <c:v>4/2020</c:v>
                </c:pt>
                <c:pt idx="9">
                  <c:v>5/2020</c:v>
                </c:pt>
                <c:pt idx="10">
                  <c:v>6/2020</c:v>
                </c:pt>
                <c:pt idx="11">
                  <c:v>7/2020</c:v>
                </c:pt>
                <c:pt idx="12">
                  <c:v>8/2020</c:v>
                </c:pt>
                <c:pt idx="13">
                  <c:v>9/2020</c:v>
                </c:pt>
                <c:pt idx="14">
                  <c:v>10/2020</c:v>
                </c:pt>
                <c:pt idx="15">
                  <c:v>11/2020</c:v>
                </c:pt>
                <c:pt idx="16">
                  <c:v>12/2020</c:v>
                </c:pt>
                <c:pt idx="17">
                  <c:v>01/2021</c:v>
                </c:pt>
                <c:pt idx="18">
                  <c:v>02/2021</c:v>
                </c:pt>
                <c:pt idx="19">
                  <c:v>03/2021</c:v>
                </c:pt>
                <c:pt idx="20">
                  <c:v>04/2021</c:v>
                </c:pt>
                <c:pt idx="21">
                  <c:v>05/2021</c:v>
                </c:pt>
                <c:pt idx="22">
                  <c:v>06/2021</c:v>
                </c:pt>
                <c:pt idx="23">
                  <c:v>07/2021</c:v>
                </c:pt>
              </c:strCache>
            </c:strRef>
          </c:cat>
          <c:val>
            <c:numRef>
              <c:f>Graf!$B$2:$B$25</c:f>
              <c:numCache>
                <c:formatCode>#\ ##0\ "Kč"</c:formatCode>
                <c:ptCount val="24"/>
                <c:pt idx="0">
                  <c:v>7394</c:v>
                </c:pt>
                <c:pt idx="1">
                  <c:v>7569</c:v>
                </c:pt>
                <c:pt idx="2">
                  <c:v>7653</c:v>
                </c:pt>
                <c:pt idx="3">
                  <c:v>7524</c:v>
                </c:pt>
                <c:pt idx="4">
                  <c:v>7655</c:v>
                </c:pt>
                <c:pt idx="5">
                  <c:v>6829</c:v>
                </c:pt>
                <c:pt idx="6">
                  <c:v>6779</c:v>
                </c:pt>
                <c:pt idx="7">
                  <c:v>6819</c:v>
                </c:pt>
                <c:pt idx="8">
                  <c:v>6712</c:v>
                </c:pt>
                <c:pt idx="9">
                  <c:v>6543</c:v>
                </c:pt>
                <c:pt idx="10">
                  <c:v>6580</c:v>
                </c:pt>
                <c:pt idx="11">
                  <c:v>6578</c:v>
                </c:pt>
                <c:pt idx="12">
                  <c:v>6517</c:v>
                </c:pt>
                <c:pt idx="13">
                  <c:v>6410</c:v>
                </c:pt>
                <c:pt idx="14">
                  <c:v>6460</c:v>
                </c:pt>
                <c:pt idx="15" formatCode="&quot;Kč&quot;#,##0_);[Red]\(&quot;Kč&quot;#,##0\)">
                  <c:v>6681</c:v>
                </c:pt>
                <c:pt idx="16" formatCode="&quot;Kč&quot;#,##0_);[Red]\(&quot;Kč&quot;#,##0\)">
                  <c:v>6702</c:v>
                </c:pt>
                <c:pt idx="17" formatCode="&quot;Kč&quot;#,##0_);[Red]\(&quot;Kč&quot;#,##0\)">
                  <c:v>6620</c:v>
                </c:pt>
                <c:pt idx="18" formatCode="&quot;Kč&quot;#,##0_);[Red]\(&quot;Kč&quot;#,##0\)">
                  <c:v>6682</c:v>
                </c:pt>
                <c:pt idx="19" formatCode="&quot;Kč&quot;#,##0_);[Red]\(&quot;Kč&quot;#,##0\)">
                  <c:v>6522</c:v>
                </c:pt>
                <c:pt idx="20" formatCode="&quot;Kč&quot;#,##0_);[Red]\(&quot;Kč&quot;#,##0\)">
                  <c:v>6329</c:v>
                </c:pt>
                <c:pt idx="21" formatCode="&quot;Kč&quot;#,##0_);[Red]\(&quot;Kč&quot;#,##0\)">
                  <c:v>6392</c:v>
                </c:pt>
                <c:pt idx="22" formatCode="&quot;Kč&quot;#,##0_);[Red]\(&quot;Kč&quot;#,##0\)">
                  <c:v>6431</c:v>
                </c:pt>
                <c:pt idx="23" formatCode="&quot;Kč&quot;#,##0_);[Red]\(&quot;Kč&quot;#,##0\)">
                  <c:v>6484</c:v>
                </c:pt>
              </c:numCache>
            </c:numRef>
          </c:val>
          <c:smooth val="0"/>
          <c:extLst>
            <c:ext xmlns:c16="http://schemas.microsoft.com/office/drawing/2014/chart" uri="{C3380CC4-5D6E-409C-BE32-E72D297353CC}">
              <c16:uniqueId val="{00000018-426C-49F1-8D8A-93BE3456CD2C}"/>
            </c:ext>
          </c:extLst>
        </c:ser>
        <c:dLbls>
          <c:showLegendKey val="0"/>
          <c:showVal val="0"/>
          <c:showCatName val="0"/>
          <c:showSerName val="0"/>
          <c:showPercent val="0"/>
          <c:showBubbleSize val="0"/>
        </c:dLbls>
        <c:marker val="1"/>
        <c:smooth val="0"/>
        <c:axId val="305466928"/>
        <c:axId val="305467760"/>
      </c:lineChart>
      <c:catAx>
        <c:axId val="305466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05467760"/>
        <c:crosses val="autoZero"/>
        <c:auto val="1"/>
        <c:lblAlgn val="ctr"/>
        <c:lblOffset val="100"/>
        <c:noMultiLvlLbl val="0"/>
      </c:catAx>
      <c:valAx>
        <c:axId val="305467760"/>
        <c:scaling>
          <c:orientation val="minMax"/>
        </c:scaling>
        <c:delete val="0"/>
        <c:axPos val="l"/>
        <c:majorGridlines>
          <c:spPr>
            <a:ln w="9525" cap="flat" cmpd="sng" algn="ctr">
              <a:solidFill>
                <a:schemeClr val="tx1">
                  <a:lumMod val="15000"/>
                  <a:lumOff val="85000"/>
                </a:schemeClr>
              </a:solidFill>
              <a:round/>
            </a:ln>
            <a:effectLst/>
          </c:spPr>
        </c:majorGridlines>
        <c:numFmt formatCode="#\ ##0\ &quot;Kč&quot;"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0546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50BE3-E14E-4776-ABD3-AFCAE555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982</Words>
  <Characters>5798</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21</cp:revision>
  <dcterms:created xsi:type="dcterms:W3CDTF">2021-08-18T14:52:00Z</dcterms:created>
  <dcterms:modified xsi:type="dcterms:W3CDTF">2021-08-25T09:55:00Z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