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b/>
          <w:sz w:val="20"/>
          <w:szCs w:val="20"/>
        </w:rPr>
      </w:sdtEndPr>
      <w:sdtContent>
        <w:p w14:paraId="718E6546" w14:textId="1251B28C" w:rsidR="00D80B6D" w:rsidRPr="00FC2522" w:rsidRDefault="00D80B6D">
          <w:pPr>
            <w:rPr>
              <w:highlight w:val="yellow"/>
            </w:rPr>
          </w:pPr>
        </w:p>
        <w:p w14:paraId="7ED014A1" w14:textId="77777777" w:rsidR="00D80B6D" w:rsidRPr="00FC2522" w:rsidRDefault="00D80B6D" w:rsidP="00D80B6D">
          <w:pPr>
            <w:pStyle w:val="Nadpis3"/>
            <w:spacing w:before="10"/>
            <w:rPr>
              <w:rFonts w:ascii="Arial" w:hAnsi="Arial" w:cs="Arial"/>
              <w:color w:val="1D1D1B"/>
              <w:highlight w:val="yellow"/>
            </w:rPr>
          </w:pPr>
        </w:p>
        <w:p w14:paraId="0FB45B67" w14:textId="77777777" w:rsidR="00D80B6D" w:rsidRPr="004B5797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CD1719"/>
              <w:sz w:val="24"/>
            </w:rPr>
          </w:pPr>
          <w:r w:rsidRPr="004B5797">
            <w:rPr>
              <w:rFonts w:ascii="Arial" w:hAnsi="Arial" w:cs="Arial"/>
              <w:color w:val="1D1D1B"/>
              <w:sz w:val="24"/>
            </w:rPr>
            <w:t xml:space="preserve">INDEX HYPOTEČNÍCH ÚVĚRŮ </w:t>
          </w:r>
          <w:r w:rsidRPr="004B5797">
            <w:rPr>
              <w:rFonts w:ascii="Arial" w:hAnsi="Arial" w:cs="Arial"/>
              <w:color w:val="CD1719"/>
              <w:sz w:val="24"/>
            </w:rPr>
            <w:t xml:space="preserve">| </w:t>
          </w:r>
          <w:r w:rsidRPr="004B5797">
            <w:rPr>
              <w:rFonts w:ascii="Arial" w:hAnsi="Arial" w:cs="Arial"/>
              <w:color w:val="1D1D1B"/>
              <w:sz w:val="24"/>
            </w:rPr>
            <w:t xml:space="preserve">FIXINDEX </w:t>
          </w:r>
        </w:p>
        <w:p w14:paraId="15233C16" w14:textId="77777777" w:rsidR="00D80B6D" w:rsidRPr="004B5797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CD1719"/>
              <w:sz w:val="24"/>
            </w:rPr>
          </w:pPr>
          <w:r w:rsidRPr="009F2CEE">
            <w:rPr>
              <w:rFonts w:ascii="Arial" w:hAnsi="Arial" w:cs="Arial"/>
              <w:b/>
              <w:color w:val="1D1D1B"/>
              <w:sz w:val="24"/>
            </w:rPr>
            <w:t>INDEX PODÍLOVÝCH FONDŮ</w:t>
          </w:r>
          <w:r w:rsidRPr="004B5797">
            <w:rPr>
              <w:rFonts w:ascii="Arial" w:hAnsi="Arial" w:cs="Arial"/>
              <w:color w:val="1D1D1B"/>
              <w:sz w:val="24"/>
            </w:rPr>
            <w:t xml:space="preserve"> </w:t>
          </w:r>
          <w:r w:rsidRPr="004B5797">
            <w:rPr>
              <w:rFonts w:ascii="Arial" w:hAnsi="Arial" w:cs="Arial"/>
              <w:color w:val="CD1719"/>
              <w:sz w:val="24"/>
            </w:rPr>
            <w:t>|</w:t>
          </w:r>
          <w:r w:rsidRPr="004B5797">
            <w:rPr>
              <w:rFonts w:ascii="Arial" w:hAnsi="Arial" w:cs="Arial"/>
              <w:color w:val="1D1D1B"/>
              <w:sz w:val="24"/>
            </w:rPr>
            <w:t xml:space="preserve"> INDEX TYPICKÉHO INVESTORA </w:t>
          </w:r>
        </w:p>
        <w:p w14:paraId="03C4DE47" w14:textId="77777777" w:rsidR="0009776B" w:rsidRPr="004B5797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1D1D1B"/>
              <w:sz w:val="24"/>
            </w:rPr>
          </w:pPr>
          <w:r w:rsidRPr="004B5797">
            <w:rPr>
              <w:rFonts w:ascii="Arial" w:hAnsi="Arial" w:cs="Arial"/>
              <w:color w:val="1D1D1B"/>
              <w:sz w:val="24"/>
            </w:rPr>
            <w:t xml:space="preserve">INDEX VOLNÝCH PENĚZ DOMÁCNOSTÍ </w:t>
          </w:r>
        </w:p>
        <w:p w14:paraId="32900BCE" w14:textId="77777777" w:rsidR="00D80B6D" w:rsidRPr="004B5797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1D1D1B"/>
              <w:sz w:val="24"/>
            </w:rPr>
          </w:pPr>
          <w:r w:rsidRPr="004B5797">
            <w:rPr>
              <w:rFonts w:ascii="Arial" w:hAnsi="Arial" w:cs="Arial"/>
              <w:color w:val="1D1D1B"/>
              <w:sz w:val="24"/>
            </w:rPr>
            <w:t xml:space="preserve">POV INDEX </w:t>
          </w:r>
        </w:p>
        <w:p w14:paraId="5B21B8A6" w14:textId="77777777" w:rsidR="00D80B6D" w:rsidRPr="009F2CEE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CD1719"/>
              <w:sz w:val="24"/>
            </w:rPr>
          </w:pPr>
          <w:r w:rsidRPr="009F2CEE">
            <w:rPr>
              <w:rFonts w:ascii="Arial" w:hAnsi="Arial" w:cs="Arial"/>
              <w:color w:val="1D1D1B"/>
              <w:sz w:val="24"/>
            </w:rPr>
            <w:t xml:space="preserve">INDEX SPOTŘEBITELSKÝCH ÚVĚRŮ </w:t>
          </w:r>
          <w:r w:rsidRPr="009F2CEE">
            <w:rPr>
              <w:rFonts w:ascii="Arial" w:hAnsi="Arial" w:cs="Arial"/>
              <w:color w:val="CD1719"/>
              <w:sz w:val="24"/>
            </w:rPr>
            <w:t xml:space="preserve"> </w:t>
          </w:r>
        </w:p>
        <w:p w14:paraId="37B597D7" w14:textId="77777777" w:rsidR="00032D94" w:rsidRPr="004B5797" w:rsidRDefault="00D80B6D" w:rsidP="00D80B6D">
          <w:pPr>
            <w:spacing w:before="240" w:line="288" w:lineRule="exact"/>
            <w:ind w:left="162"/>
            <w:jc w:val="center"/>
            <w:rPr>
              <w:rFonts w:ascii="Arial" w:hAnsi="Arial" w:cs="Arial"/>
              <w:color w:val="1D1D1B"/>
              <w:sz w:val="24"/>
            </w:rPr>
          </w:pPr>
          <w:r w:rsidRPr="004B5797">
            <w:rPr>
              <w:rFonts w:ascii="Arial" w:hAnsi="Arial" w:cs="Arial"/>
              <w:color w:val="1D1D1B"/>
              <w:sz w:val="24"/>
            </w:rPr>
            <w:t xml:space="preserve">INDEX FINANČNÍ GRAMOTNOSTI </w:t>
          </w:r>
        </w:p>
        <w:p w14:paraId="4C8EDD49" w14:textId="77777777" w:rsidR="00D80B6D" w:rsidRPr="004B5797" w:rsidRDefault="00D80B6D" w:rsidP="00D80B6D">
          <w:pPr>
            <w:spacing w:before="240" w:line="288" w:lineRule="exact"/>
            <w:ind w:left="162"/>
            <w:jc w:val="center"/>
            <w:rPr>
              <w:rFonts w:ascii="Arial" w:hAnsi="Arial" w:cs="Arial"/>
              <w:sz w:val="24"/>
            </w:rPr>
          </w:pPr>
          <w:r w:rsidRPr="004B5797">
            <w:rPr>
              <w:rFonts w:ascii="Arial" w:hAnsi="Arial" w:cs="Arial"/>
              <w:color w:val="1D1D1B"/>
              <w:sz w:val="24"/>
            </w:rPr>
            <w:t>INDEX OČEKÁVANÝCH CEN PŘI PRODEJI NEMOVITOSTI</w:t>
          </w:r>
        </w:p>
        <w:p w14:paraId="1FCC0C9E" w14:textId="77777777" w:rsidR="00D80B6D" w:rsidRPr="00FC2522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20CCDBB" w14:textId="77777777" w:rsidR="00D80B6D" w:rsidRPr="00FC2522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  <w:r w:rsidRPr="00FC2522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18EE6CB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color w:val="FFFFFF" w:themeColor="background1"/>
              <w:sz w:val="20"/>
              <w:highlight w:val="yellow"/>
            </w:rPr>
          </w:pPr>
        </w:p>
        <w:p w14:paraId="5193A529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FC2522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FC2522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FC2522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1132A3F" w14:textId="53DE594E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FC2522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7485CC6" w14:textId="77777777" w:rsidR="00D80B6D" w:rsidRPr="00FC2522" w:rsidRDefault="00D80B6D" w:rsidP="00D80B6D">
          <w:pPr>
            <w:jc w:val="both"/>
            <w:rPr>
              <w:rFonts w:ascii="Arial" w:hAnsi="Arial" w:cs="Arial"/>
              <w:sz w:val="20"/>
            </w:rPr>
          </w:pPr>
        </w:p>
        <w:p w14:paraId="08070DCC" w14:textId="3891EFEA" w:rsidR="00792EE9" w:rsidRPr="00FC2522" w:rsidRDefault="00792EE9" w:rsidP="00792EE9">
          <w:pPr>
            <w:jc w:val="both"/>
            <w:rPr>
              <w:rStyle w:val="dn"/>
              <w:rFonts w:ascii="Arial" w:hAnsi="Arial" w:cs="Arial"/>
              <w:sz w:val="18"/>
              <w:szCs w:val="18"/>
            </w:rPr>
          </w:pPr>
          <w:r w:rsidRPr="00FC2522">
            <w:rPr>
              <w:rFonts w:ascii="Arial" w:hAnsi="Arial" w:cs="Arial"/>
              <w:sz w:val="18"/>
            </w:rPr>
            <w:t xml:space="preserve">Broker Consulting je jednou z největších společností na českém a slovenském trhu, která poskytuje služby v oblasti financí a realit. Od roku 1998 získala důvěru více než 600 000 klientů. Poskytuje také služby přes 4 000 firmám. Distribuci služeb zajišťuje přibližně 2 000 konzultantů (profesionální konzultanti, zaměstnanci, konzultanti v zapracování v ČR i SR) ve více než 100 kancelářích a </w:t>
          </w:r>
          <w:r w:rsidR="002141AF">
            <w:rPr>
              <w:rFonts w:ascii="Arial" w:hAnsi="Arial" w:cs="Arial"/>
              <w:sz w:val="18"/>
            </w:rPr>
            <w:t>40</w:t>
          </w:r>
          <w:r w:rsidRPr="00FC2522">
            <w:rPr>
              <w:rFonts w:ascii="Arial" w:hAnsi="Arial" w:cs="Arial"/>
              <w:sz w:val="18"/>
            </w:rPr>
            <w:t xml:space="preserve"> franšízových pobočkách OK POINT.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POINT, který přináší společnost Broker Consulting ve spolupráci s </w:t>
          </w:r>
          <w:proofErr w:type="spellStart"/>
          <w:r w:rsidRPr="00FC2522">
            <w:rPr>
              <w:rFonts w:ascii="Arial" w:hAnsi="Arial" w:cs="Arial"/>
              <w:sz w:val="18"/>
            </w:rPr>
            <w:t>mBank</w:t>
          </w:r>
          <w:proofErr w:type="spellEnd"/>
          <w:r w:rsidRPr="00FC2522">
            <w:rPr>
              <w:rFonts w:ascii="Arial" w:hAnsi="Arial" w:cs="Arial"/>
              <w:sz w:val="18"/>
            </w:rPr>
            <w:t xml:space="preserve"> a MONETA Money Bank. </w:t>
          </w:r>
          <w:proofErr w:type="spellStart"/>
          <w:r w:rsidRPr="00FC2522">
            <w:rPr>
              <w:rStyle w:val="dn"/>
              <w:rFonts w:ascii="Arial" w:hAnsi="Arial" w:cs="Arial"/>
              <w:sz w:val="18"/>
              <w:szCs w:val="18"/>
            </w:rPr>
            <w:t>Více</w:t>
          </w:r>
          <w:proofErr w:type="spellEnd"/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 na </w:t>
          </w:r>
          <w:hyperlink r:id="rId9" w:history="1">
            <w:r w:rsidR="007B232E" w:rsidRPr="00F6177F">
              <w:rPr>
                <w:rStyle w:val="Hypertextovodkaz"/>
                <w:rFonts w:ascii="Arial" w:hAnsi="Arial" w:cs="Arial"/>
                <w:sz w:val="18"/>
                <w:szCs w:val="18"/>
              </w:rPr>
              <w:t>bcas.cz</w:t>
            </w:r>
          </w:hyperlink>
          <w:r w:rsidRPr="007B232E">
            <w:rPr>
              <w:rStyle w:val="Hypertextovodkaz"/>
              <w:rFonts w:ascii="Arial" w:hAnsi="Arial" w:cs="Arial"/>
              <w:sz w:val="18"/>
              <w:szCs w:val="18"/>
              <w:u w:val="none"/>
            </w:rPr>
            <w:t xml:space="preserve">, </w:t>
          </w:r>
          <w:hyperlink r:id="rId10" w:history="1">
            <w:r w:rsidR="007B232E" w:rsidRPr="00F6177F">
              <w:rPr>
                <w:rStyle w:val="Hypertextovodkaz"/>
                <w:rFonts w:ascii="Arial" w:hAnsi="Arial" w:cs="Arial"/>
                <w:sz w:val="18"/>
                <w:szCs w:val="18"/>
              </w:rPr>
              <w:t>okpointy.cz</w:t>
            </w:r>
          </w:hyperlink>
          <w:r w:rsidR="007B232E" w:rsidRPr="007B232E">
            <w:rPr>
              <w:rStyle w:val="Hypertextovodkaz"/>
              <w:rFonts w:ascii="Arial" w:hAnsi="Arial" w:cs="Arial"/>
              <w:color w:val="FF0000"/>
              <w:sz w:val="18"/>
              <w:szCs w:val="18"/>
              <w:u w:val="none"/>
            </w:rPr>
            <w:t xml:space="preserve">, </w:t>
          </w:r>
          <w:hyperlink r:id="rId11" w:history="1">
            <w:r w:rsidR="007B232E" w:rsidRPr="007B232E">
              <w:rPr>
                <w:rStyle w:val="Hypertextovodkaz"/>
                <w:rFonts w:ascii="Arial" w:hAnsi="Arial" w:cs="Arial"/>
                <w:sz w:val="18"/>
                <w:szCs w:val="18"/>
              </w:rPr>
              <w:t>okpoint.tv</w:t>
            </w:r>
          </w:hyperlink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 a na </w:t>
          </w:r>
          <w:hyperlink r:id="rId12" w:history="1">
            <w:r w:rsidRPr="007B232E">
              <w:rPr>
                <w:rStyle w:val="Hypertextovodkaz"/>
                <w:rFonts w:ascii="Arial" w:hAnsi="Arial" w:cs="Arial"/>
                <w:sz w:val="18"/>
                <w:szCs w:val="18"/>
              </w:rPr>
              <w:t>realityspolu.cz</w:t>
            </w:r>
          </w:hyperlink>
          <w:r w:rsidR="007B232E" w:rsidRPr="007B232E">
            <w:rPr>
              <w:rStyle w:val="Hypertextovodkaz"/>
              <w:rFonts w:ascii="Arial" w:hAnsi="Arial" w:cs="Arial"/>
              <w:color w:val="FF0000"/>
              <w:sz w:val="18"/>
              <w:szCs w:val="18"/>
              <w:u w:val="none"/>
            </w:rPr>
            <w:t xml:space="preserve">. </w:t>
          </w:r>
          <w:proofErr w:type="spellStart"/>
          <w:r w:rsidRPr="00FC2522">
            <w:rPr>
              <w:rStyle w:val="dn"/>
              <w:rFonts w:ascii="Arial" w:hAnsi="Arial" w:cs="Arial"/>
              <w:sz w:val="18"/>
              <w:szCs w:val="18"/>
            </w:rPr>
            <w:t>Navštivte</w:t>
          </w:r>
          <w:proofErr w:type="spellEnd"/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FC2522">
            <w:rPr>
              <w:rStyle w:val="dn"/>
              <w:rFonts w:ascii="Arial" w:hAnsi="Arial" w:cs="Arial"/>
              <w:sz w:val="18"/>
              <w:szCs w:val="18"/>
            </w:rPr>
            <w:t>také</w:t>
          </w:r>
          <w:proofErr w:type="spellEnd"/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FC2522">
            <w:rPr>
              <w:rStyle w:val="dn"/>
              <w:rFonts w:ascii="Arial" w:hAnsi="Arial" w:cs="Arial"/>
              <w:sz w:val="18"/>
              <w:szCs w:val="18"/>
            </w:rPr>
            <w:t>náš</w:t>
          </w:r>
          <w:proofErr w:type="spellEnd"/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hyperlink r:id="rId13" w:history="1">
            <w:r w:rsidRPr="007B232E">
              <w:rPr>
                <w:rStyle w:val="Hypertextovodkaz"/>
                <w:rFonts w:ascii="Arial" w:hAnsi="Arial" w:cs="Arial"/>
                <w:color w:val="0066FF"/>
                <w:sz w:val="18"/>
                <w:szCs w:val="18"/>
              </w:rPr>
              <w:t>Facebook</w:t>
            </w:r>
          </w:hyperlink>
          <w:r w:rsidRPr="00FC2522">
            <w:rPr>
              <w:rStyle w:val="dn"/>
              <w:rFonts w:ascii="Arial" w:hAnsi="Arial" w:cs="Arial"/>
              <w:color w:val="FF0000"/>
              <w:sz w:val="18"/>
              <w:szCs w:val="18"/>
            </w:rPr>
            <w:t xml:space="preserve"> </w:t>
          </w:r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a </w:t>
          </w:r>
          <w:hyperlink r:id="rId14" w:history="1">
            <w:r w:rsidRPr="007B232E">
              <w:rPr>
                <w:rStyle w:val="Hypertextovodkaz"/>
                <w:rFonts w:ascii="Arial" w:hAnsi="Arial" w:cs="Arial"/>
                <w:color w:val="0066FF"/>
                <w:sz w:val="18"/>
                <w:szCs w:val="18"/>
              </w:rPr>
              <w:t>LinkedIN</w:t>
            </w:r>
          </w:hyperlink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 Broker Consulting a </w:t>
          </w:r>
          <w:hyperlink r:id="rId15" w:history="1">
            <w:r w:rsidRPr="007B232E">
              <w:rPr>
                <w:rStyle w:val="Hypertextovodkaz"/>
                <w:rFonts w:ascii="Arial" w:hAnsi="Arial" w:cs="Arial"/>
                <w:color w:val="0066FF"/>
                <w:sz w:val="18"/>
                <w:szCs w:val="18"/>
              </w:rPr>
              <w:t>Facebook</w:t>
            </w:r>
          </w:hyperlink>
          <w:r w:rsidRPr="00FC2522">
            <w:rPr>
              <w:rStyle w:val="dn"/>
              <w:rFonts w:ascii="Arial" w:hAnsi="Arial" w:cs="Arial"/>
              <w:color w:val="FF0000"/>
              <w:sz w:val="18"/>
              <w:szCs w:val="18"/>
            </w:rPr>
            <w:t xml:space="preserve"> </w:t>
          </w:r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a </w:t>
          </w:r>
          <w:hyperlink r:id="rId16" w:history="1">
            <w:r w:rsidRPr="007B232E">
              <w:rPr>
                <w:rStyle w:val="Hypertextovodkaz"/>
                <w:rFonts w:ascii="Arial" w:hAnsi="Arial" w:cs="Arial"/>
                <w:color w:val="0066FF"/>
                <w:sz w:val="18"/>
                <w:szCs w:val="18"/>
              </w:rPr>
              <w:t>LinkedI</w:t>
            </w:r>
          </w:hyperlink>
          <w:r w:rsidRPr="007B232E">
            <w:rPr>
              <w:rStyle w:val="Hypertextovodkaz"/>
              <w:rFonts w:ascii="Arial" w:hAnsi="Arial" w:cs="Arial"/>
              <w:color w:val="0066FF"/>
              <w:sz w:val="18"/>
              <w:szCs w:val="18"/>
            </w:rPr>
            <w:t>N</w:t>
          </w:r>
          <w:r w:rsidRPr="007B232E">
            <w:rPr>
              <w:rStyle w:val="dn"/>
              <w:rFonts w:ascii="Arial" w:hAnsi="Arial" w:cs="Arial"/>
              <w:color w:val="0066FF"/>
              <w:sz w:val="18"/>
              <w:szCs w:val="18"/>
            </w:rPr>
            <w:t xml:space="preserve"> </w:t>
          </w:r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OK POINTů. </w:t>
          </w:r>
        </w:p>
        <w:p w14:paraId="3F0EC976" w14:textId="3496D289" w:rsidR="00D80B6D" w:rsidRPr="00FC2522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FC2522" w:rsidSect="00D80B6D">
              <w:headerReference w:type="default" r:id="rId17"/>
              <w:footerReference w:type="default" r:id="rId18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35539C65" w14:textId="1251B28C" w:rsidR="00D31127" w:rsidRPr="00FC2522" w:rsidRDefault="00846F99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  <w:sectPr w:rsidR="00D31127" w:rsidRPr="00FC2522" w:rsidSect="00D80B6D">
              <w:headerReference w:type="even" r:id="rId19"/>
              <w:headerReference w:type="default" r:id="rId20"/>
              <w:footerReference w:type="even" r:id="rId21"/>
              <w:footerReference w:type="default" r:id="rId22"/>
              <w:headerReference w:type="first" r:id="rId23"/>
              <w:footerReference w:type="first" r:id="rId24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439D0EA1" w14:textId="77777777" w:rsidR="00CC580E" w:rsidRDefault="00CC580E" w:rsidP="00EC73D3">
      <w:pPr>
        <w:jc w:val="center"/>
        <w:rPr>
          <w:rFonts w:ascii="Arial" w:hAnsi="Arial" w:cs="Arial"/>
          <w:b/>
          <w:sz w:val="28"/>
          <w:szCs w:val="28"/>
        </w:rPr>
      </w:pPr>
    </w:p>
    <w:p w14:paraId="5BA4F391" w14:textId="50A60863" w:rsidR="00EC73D3" w:rsidRPr="009F5B6E" w:rsidRDefault="00ED2D1F" w:rsidP="00EC73D3">
      <w:pPr>
        <w:jc w:val="center"/>
        <w:rPr>
          <w:rFonts w:ascii="Arial" w:hAnsi="Arial" w:cs="Arial"/>
          <w:b/>
          <w:sz w:val="28"/>
          <w:szCs w:val="28"/>
        </w:rPr>
      </w:pPr>
      <w:r w:rsidRPr="009F5B6E">
        <w:rPr>
          <w:rFonts w:ascii="Arial" w:hAnsi="Arial" w:cs="Arial"/>
          <w:b/>
          <w:sz w:val="28"/>
          <w:szCs w:val="28"/>
        </w:rPr>
        <w:t xml:space="preserve">Broker Consulting Index </w:t>
      </w:r>
      <w:r w:rsidR="00982987" w:rsidRPr="009F5B6E">
        <w:rPr>
          <w:rFonts w:ascii="Arial" w:hAnsi="Arial" w:cs="Arial"/>
          <w:b/>
          <w:sz w:val="28"/>
          <w:szCs w:val="28"/>
        </w:rPr>
        <w:t>podílových fondů</w:t>
      </w:r>
      <w:r w:rsidR="00EC73D3" w:rsidRPr="009F5B6E">
        <w:rPr>
          <w:rFonts w:ascii="Arial" w:hAnsi="Arial" w:cs="Arial"/>
          <w:b/>
          <w:sz w:val="28"/>
          <w:szCs w:val="28"/>
        </w:rPr>
        <w:t>:</w:t>
      </w:r>
      <w:r w:rsidR="00E909E2" w:rsidRPr="009F5B6E">
        <w:rPr>
          <w:rFonts w:ascii="Arial" w:hAnsi="Arial" w:cs="Arial"/>
          <w:b/>
          <w:sz w:val="28"/>
          <w:szCs w:val="28"/>
        </w:rPr>
        <w:t xml:space="preserve"> </w:t>
      </w:r>
    </w:p>
    <w:p w14:paraId="11F162CA" w14:textId="7D7DFE43" w:rsidR="00C23E32" w:rsidRPr="009F5B6E" w:rsidRDefault="00D21E1C" w:rsidP="00EC73D3">
      <w:pPr>
        <w:jc w:val="center"/>
        <w:rPr>
          <w:rFonts w:ascii="Arial" w:hAnsi="Arial" w:cs="Arial"/>
          <w:b/>
          <w:sz w:val="28"/>
          <w:szCs w:val="28"/>
        </w:rPr>
      </w:pPr>
      <w:r w:rsidRPr="009F5B6E">
        <w:rPr>
          <w:rFonts w:ascii="Arial" w:hAnsi="Arial" w:cs="Arial"/>
          <w:b/>
          <w:sz w:val="28"/>
          <w:szCs w:val="28"/>
        </w:rPr>
        <w:t>K</w:t>
      </w:r>
      <w:r w:rsidR="009F5B6E" w:rsidRPr="009F5B6E">
        <w:rPr>
          <w:rFonts w:ascii="Arial" w:hAnsi="Arial" w:cs="Arial"/>
          <w:b/>
          <w:sz w:val="28"/>
          <w:szCs w:val="28"/>
        </w:rPr>
        <w:t xml:space="preserve">omoditní fondy pokračovaly ve svém vítězném tažení a </w:t>
      </w:r>
      <w:r w:rsidR="009F5B6E">
        <w:rPr>
          <w:rFonts w:ascii="Arial" w:hAnsi="Arial" w:cs="Arial"/>
          <w:b/>
          <w:sz w:val="28"/>
          <w:szCs w:val="28"/>
        </w:rPr>
        <w:t>za červen</w:t>
      </w:r>
      <w:r w:rsidR="009F5B6E" w:rsidRPr="009F5B6E">
        <w:rPr>
          <w:rFonts w:ascii="Arial" w:hAnsi="Arial" w:cs="Arial"/>
          <w:b/>
          <w:sz w:val="28"/>
          <w:szCs w:val="28"/>
        </w:rPr>
        <w:t xml:space="preserve"> </w:t>
      </w:r>
      <w:r w:rsidR="009F5B6E">
        <w:rPr>
          <w:rFonts w:ascii="Arial" w:hAnsi="Arial" w:cs="Arial"/>
          <w:b/>
          <w:sz w:val="28"/>
          <w:szCs w:val="28"/>
        </w:rPr>
        <w:t xml:space="preserve">si připsaly </w:t>
      </w:r>
      <w:r w:rsidR="009F5B6E" w:rsidRPr="009F5B6E">
        <w:rPr>
          <w:rFonts w:ascii="Arial" w:hAnsi="Arial" w:cs="Arial"/>
          <w:b/>
          <w:sz w:val="28"/>
          <w:szCs w:val="28"/>
        </w:rPr>
        <w:t xml:space="preserve">1,46 %. Od počátku roku posílily téměř o pětinu </w:t>
      </w:r>
    </w:p>
    <w:p w14:paraId="7467897D" w14:textId="4CCE2F85" w:rsidR="00C23E32" w:rsidRPr="00CC5BA3" w:rsidRDefault="00C23E32" w:rsidP="00B27178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0B6EB847" w14:textId="6B52DA27" w:rsidR="00B42E81" w:rsidRDefault="00CC5BA3" w:rsidP="003A4F52">
      <w:pPr>
        <w:jc w:val="both"/>
        <w:rPr>
          <w:rFonts w:ascii="Arial" w:hAnsi="Arial" w:cs="Arial"/>
          <w:b/>
          <w:sz w:val="20"/>
          <w:szCs w:val="20"/>
        </w:rPr>
      </w:pPr>
      <w:r w:rsidRPr="00935552">
        <w:rPr>
          <w:rFonts w:ascii="Arial" w:hAnsi="Arial" w:cs="Arial"/>
          <w:i/>
          <w:sz w:val="20"/>
          <w:szCs w:val="20"/>
        </w:rPr>
        <w:t xml:space="preserve">Praha, </w:t>
      </w:r>
      <w:r w:rsidR="00870F82">
        <w:rPr>
          <w:rFonts w:ascii="Arial" w:hAnsi="Arial" w:cs="Arial"/>
          <w:i/>
          <w:sz w:val="20"/>
          <w:szCs w:val="20"/>
        </w:rPr>
        <w:t>13</w:t>
      </w:r>
      <w:r w:rsidR="00CC727D" w:rsidRPr="00935552">
        <w:rPr>
          <w:rFonts w:ascii="Arial" w:hAnsi="Arial" w:cs="Arial"/>
          <w:i/>
          <w:sz w:val="20"/>
          <w:szCs w:val="20"/>
        </w:rPr>
        <w:t>. července</w:t>
      </w:r>
      <w:r w:rsidRPr="00935552">
        <w:rPr>
          <w:rFonts w:ascii="Arial" w:hAnsi="Arial" w:cs="Arial"/>
          <w:i/>
          <w:sz w:val="20"/>
          <w:szCs w:val="20"/>
        </w:rPr>
        <w:t xml:space="preserve"> 2021 </w:t>
      </w:r>
      <w:r w:rsidRPr="009F5B6E">
        <w:rPr>
          <w:rFonts w:ascii="Arial" w:hAnsi="Arial" w:cs="Arial"/>
          <w:i/>
          <w:sz w:val="20"/>
          <w:szCs w:val="20"/>
        </w:rPr>
        <w:t>–</w:t>
      </w:r>
      <w:r w:rsidR="0026621E">
        <w:rPr>
          <w:rFonts w:ascii="Arial" w:hAnsi="Arial" w:cs="Arial"/>
          <w:b/>
          <w:sz w:val="20"/>
          <w:szCs w:val="20"/>
        </w:rPr>
        <w:t xml:space="preserve"> </w:t>
      </w:r>
      <w:r w:rsidR="00BA7889">
        <w:rPr>
          <w:rFonts w:ascii="Arial" w:hAnsi="Arial" w:cs="Arial"/>
          <w:b/>
          <w:sz w:val="20"/>
          <w:szCs w:val="20"/>
        </w:rPr>
        <w:t xml:space="preserve">Červnové výsledky Broker Consulting Indexu podílových fondů </w:t>
      </w:r>
      <w:r w:rsidR="00497374">
        <w:rPr>
          <w:rFonts w:ascii="Arial" w:hAnsi="Arial" w:cs="Arial"/>
          <w:b/>
          <w:sz w:val="20"/>
          <w:szCs w:val="20"/>
        </w:rPr>
        <w:t xml:space="preserve">opět </w:t>
      </w:r>
      <w:r w:rsidR="00BA7889">
        <w:rPr>
          <w:rFonts w:ascii="Arial" w:hAnsi="Arial" w:cs="Arial"/>
          <w:b/>
          <w:sz w:val="20"/>
          <w:szCs w:val="20"/>
        </w:rPr>
        <w:t xml:space="preserve">potvrdily </w:t>
      </w:r>
      <w:r w:rsidR="00B927D5">
        <w:rPr>
          <w:rFonts w:ascii="Arial" w:hAnsi="Arial" w:cs="Arial"/>
          <w:b/>
          <w:sz w:val="20"/>
          <w:szCs w:val="20"/>
        </w:rPr>
        <w:t xml:space="preserve">neochvějnou </w:t>
      </w:r>
      <w:r w:rsidR="00BA7889">
        <w:rPr>
          <w:rFonts w:ascii="Arial" w:hAnsi="Arial" w:cs="Arial"/>
          <w:b/>
          <w:sz w:val="20"/>
          <w:szCs w:val="20"/>
        </w:rPr>
        <w:t xml:space="preserve">pozici </w:t>
      </w:r>
      <w:r w:rsidR="00935552">
        <w:rPr>
          <w:rFonts w:ascii="Arial" w:hAnsi="Arial" w:cs="Arial"/>
          <w:b/>
          <w:sz w:val="20"/>
          <w:szCs w:val="20"/>
        </w:rPr>
        <w:t xml:space="preserve">komoditních fondů, které </w:t>
      </w:r>
      <w:r w:rsidR="00BA7889">
        <w:rPr>
          <w:rFonts w:ascii="Arial" w:hAnsi="Arial" w:cs="Arial"/>
          <w:b/>
          <w:sz w:val="20"/>
          <w:szCs w:val="20"/>
        </w:rPr>
        <w:t xml:space="preserve">meziměsíčně </w:t>
      </w:r>
      <w:r w:rsidR="00935552">
        <w:rPr>
          <w:rFonts w:ascii="Arial" w:hAnsi="Arial" w:cs="Arial"/>
          <w:b/>
          <w:sz w:val="20"/>
          <w:szCs w:val="20"/>
        </w:rPr>
        <w:t>posílily o</w:t>
      </w:r>
      <w:r w:rsidR="00BA7889">
        <w:rPr>
          <w:rFonts w:ascii="Arial" w:hAnsi="Arial" w:cs="Arial"/>
          <w:b/>
          <w:sz w:val="20"/>
          <w:szCs w:val="20"/>
        </w:rPr>
        <w:t xml:space="preserve"> </w:t>
      </w:r>
      <w:r w:rsidR="00497374">
        <w:rPr>
          <w:rFonts w:ascii="Arial" w:hAnsi="Arial" w:cs="Arial"/>
          <w:b/>
          <w:sz w:val="20"/>
          <w:szCs w:val="20"/>
        </w:rPr>
        <w:t>1</w:t>
      </w:r>
      <w:r w:rsidR="00BA7889">
        <w:rPr>
          <w:rFonts w:ascii="Arial" w:hAnsi="Arial" w:cs="Arial"/>
          <w:b/>
          <w:sz w:val="20"/>
          <w:szCs w:val="20"/>
        </w:rPr>
        <w:t>,46 %</w:t>
      </w:r>
      <w:r w:rsidR="00497374">
        <w:rPr>
          <w:rFonts w:ascii="Arial" w:hAnsi="Arial" w:cs="Arial"/>
          <w:b/>
          <w:sz w:val="20"/>
          <w:szCs w:val="20"/>
        </w:rPr>
        <w:t xml:space="preserve">. </w:t>
      </w:r>
      <w:r w:rsidR="00B927D5">
        <w:rPr>
          <w:rFonts w:ascii="Arial" w:hAnsi="Arial" w:cs="Arial"/>
          <w:b/>
          <w:sz w:val="20"/>
          <w:szCs w:val="20"/>
        </w:rPr>
        <w:t>Od počátku letošního roku zaznamenávají výrazný</w:t>
      </w:r>
      <w:r w:rsidR="003606E0">
        <w:rPr>
          <w:rFonts w:ascii="Arial" w:hAnsi="Arial" w:cs="Arial"/>
          <w:b/>
          <w:sz w:val="20"/>
          <w:szCs w:val="20"/>
        </w:rPr>
        <w:t>, téměř pětinový</w:t>
      </w:r>
      <w:r w:rsidR="00497374">
        <w:rPr>
          <w:rFonts w:ascii="Arial" w:hAnsi="Arial" w:cs="Arial"/>
          <w:b/>
          <w:sz w:val="20"/>
          <w:szCs w:val="20"/>
        </w:rPr>
        <w:t xml:space="preserve"> </w:t>
      </w:r>
      <w:r w:rsidR="00B927D5">
        <w:rPr>
          <w:rFonts w:ascii="Arial" w:hAnsi="Arial" w:cs="Arial"/>
          <w:b/>
          <w:sz w:val="20"/>
          <w:szCs w:val="20"/>
        </w:rPr>
        <w:t>ná</w:t>
      </w:r>
      <w:r w:rsidR="00497374">
        <w:rPr>
          <w:rFonts w:ascii="Arial" w:hAnsi="Arial" w:cs="Arial"/>
          <w:b/>
          <w:sz w:val="20"/>
          <w:szCs w:val="20"/>
        </w:rPr>
        <w:t>růst</w:t>
      </w:r>
      <w:r w:rsidR="003606E0">
        <w:rPr>
          <w:rFonts w:ascii="Arial" w:hAnsi="Arial" w:cs="Arial"/>
          <w:b/>
          <w:sz w:val="20"/>
          <w:szCs w:val="20"/>
        </w:rPr>
        <w:t xml:space="preserve">. </w:t>
      </w:r>
      <w:r w:rsidR="00497374">
        <w:rPr>
          <w:rFonts w:ascii="Arial" w:hAnsi="Arial" w:cs="Arial"/>
          <w:b/>
          <w:sz w:val="20"/>
          <w:szCs w:val="20"/>
        </w:rPr>
        <w:t xml:space="preserve">V červnu posílily také nemovitostní a </w:t>
      </w:r>
      <w:r w:rsidR="00BA7889">
        <w:rPr>
          <w:rFonts w:ascii="Arial" w:hAnsi="Arial" w:cs="Arial"/>
          <w:b/>
          <w:sz w:val="20"/>
          <w:szCs w:val="20"/>
        </w:rPr>
        <w:t>akciové fondy</w:t>
      </w:r>
      <w:r w:rsidR="00497374">
        <w:rPr>
          <w:rFonts w:ascii="Arial" w:hAnsi="Arial" w:cs="Arial"/>
          <w:b/>
          <w:sz w:val="20"/>
          <w:szCs w:val="20"/>
        </w:rPr>
        <w:t xml:space="preserve">, </w:t>
      </w:r>
      <w:r w:rsidR="00935552">
        <w:rPr>
          <w:rFonts w:ascii="Arial" w:hAnsi="Arial" w:cs="Arial"/>
          <w:b/>
          <w:sz w:val="20"/>
          <w:szCs w:val="20"/>
        </w:rPr>
        <w:t xml:space="preserve">naproti tomu </w:t>
      </w:r>
      <w:r w:rsidR="00BA7889">
        <w:rPr>
          <w:rFonts w:ascii="Arial" w:hAnsi="Arial" w:cs="Arial"/>
          <w:b/>
          <w:sz w:val="20"/>
          <w:szCs w:val="20"/>
        </w:rPr>
        <w:t xml:space="preserve">dluhopisové fondy a fondy peněžního trhu </w:t>
      </w:r>
      <w:r w:rsidR="00935552">
        <w:rPr>
          <w:rFonts w:ascii="Arial" w:hAnsi="Arial" w:cs="Arial"/>
          <w:b/>
          <w:sz w:val="20"/>
          <w:szCs w:val="20"/>
        </w:rPr>
        <w:t xml:space="preserve">nevybočily ze svého </w:t>
      </w:r>
      <w:r w:rsidR="00BA7889">
        <w:rPr>
          <w:rFonts w:ascii="Arial" w:hAnsi="Arial" w:cs="Arial"/>
          <w:b/>
          <w:sz w:val="20"/>
          <w:szCs w:val="20"/>
        </w:rPr>
        <w:t>klesající</w:t>
      </w:r>
      <w:r w:rsidR="00935552">
        <w:rPr>
          <w:rFonts w:ascii="Arial" w:hAnsi="Arial" w:cs="Arial"/>
          <w:b/>
          <w:sz w:val="20"/>
          <w:szCs w:val="20"/>
        </w:rPr>
        <w:t>ho</w:t>
      </w:r>
      <w:r w:rsidR="00BA7889">
        <w:rPr>
          <w:rFonts w:ascii="Arial" w:hAnsi="Arial" w:cs="Arial"/>
          <w:b/>
          <w:sz w:val="20"/>
          <w:szCs w:val="20"/>
        </w:rPr>
        <w:t xml:space="preserve"> trend</w:t>
      </w:r>
      <w:r w:rsidR="00B42E81">
        <w:rPr>
          <w:rFonts w:ascii="Arial" w:hAnsi="Arial" w:cs="Arial"/>
          <w:b/>
          <w:sz w:val="20"/>
          <w:szCs w:val="20"/>
        </w:rPr>
        <w:t>u</w:t>
      </w:r>
      <w:r w:rsidR="003606E0">
        <w:rPr>
          <w:rFonts w:ascii="Arial" w:hAnsi="Arial" w:cs="Arial"/>
          <w:b/>
          <w:sz w:val="20"/>
          <w:szCs w:val="20"/>
        </w:rPr>
        <w:t xml:space="preserve"> a skončily se ztrátou </w:t>
      </w:r>
      <w:r w:rsidR="00B927D5">
        <w:rPr>
          <w:rFonts w:ascii="Arial" w:hAnsi="Arial" w:cs="Arial"/>
          <w:b/>
          <w:sz w:val="20"/>
          <w:szCs w:val="20"/>
        </w:rPr>
        <w:t xml:space="preserve"> -</w:t>
      </w:r>
      <w:r w:rsidR="003606E0">
        <w:rPr>
          <w:rFonts w:ascii="Arial" w:hAnsi="Arial" w:cs="Arial"/>
          <w:b/>
          <w:sz w:val="20"/>
          <w:szCs w:val="20"/>
        </w:rPr>
        <w:t>0,06 %, resp</w:t>
      </w:r>
      <w:r w:rsidR="00B927D5">
        <w:rPr>
          <w:rFonts w:ascii="Arial" w:hAnsi="Arial" w:cs="Arial"/>
          <w:b/>
          <w:sz w:val="20"/>
          <w:szCs w:val="20"/>
        </w:rPr>
        <w:t>ektive</w:t>
      </w:r>
      <w:r w:rsidR="003606E0">
        <w:rPr>
          <w:rFonts w:ascii="Arial" w:hAnsi="Arial" w:cs="Arial"/>
          <w:b/>
          <w:sz w:val="20"/>
          <w:szCs w:val="20"/>
        </w:rPr>
        <w:t xml:space="preserve"> -0,10 %</w:t>
      </w:r>
      <w:r w:rsidR="00B42E81">
        <w:rPr>
          <w:rFonts w:ascii="Arial" w:hAnsi="Arial" w:cs="Arial"/>
          <w:b/>
          <w:sz w:val="20"/>
          <w:szCs w:val="20"/>
        </w:rPr>
        <w:t>.</w:t>
      </w:r>
    </w:p>
    <w:p w14:paraId="03360117" w14:textId="77777777" w:rsidR="000F5AB4" w:rsidRDefault="000F5AB4" w:rsidP="00CC727D">
      <w:pPr>
        <w:jc w:val="both"/>
        <w:rPr>
          <w:rFonts w:ascii="Arial" w:hAnsi="Arial" w:cs="Arial"/>
          <w:sz w:val="20"/>
          <w:szCs w:val="20"/>
        </w:rPr>
      </w:pPr>
    </w:p>
    <w:p w14:paraId="436738A5" w14:textId="654084F3" w:rsidR="00CC727D" w:rsidRPr="00CC727D" w:rsidRDefault="00935552" w:rsidP="00CC727D">
      <w:pPr>
        <w:jc w:val="both"/>
        <w:rPr>
          <w:rFonts w:ascii="Arial" w:hAnsi="Arial" w:cs="Arial"/>
          <w:sz w:val="20"/>
          <w:szCs w:val="20"/>
        </w:rPr>
      </w:pPr>
      <w:r w:rsidRPr="00B42E81">
        <w:rPr>
          <w:rFonts w:ascii="Arial" w:hAnsi="Arial" w:cs="Arial"/>
          <w:i/>
          <w:sz w:val="20"/>
          <w:szCs w:val="20"/>
        </w:rPr>
        <w:t>„U</w:t>
      </w:r>
      <w:r w:rsidR="00B058E3" w:rsidRPr="00B42E81">
        <w:rPr>
          <w:rFonts w:ascii="Arial" w:hAnsi="Arial" w:cs="Arial"/>
          <w:i/>
          <w:sz w:val="20"/>
          <w:szCs w:val="20"/>
        </w:rPr>
        <w:t>plynulý</w:t>
      </w:r>
      <w:r w:rsidR="00B058E3" w:rsidRPr="00B42E81">
        <w:rPr>
          <w:rFonts w:ascii="Arial" w:hAnsi="Arial" w:cs="Arial"/>
          <w:b/>
          <w:i/>
          <w:sz w:val="20"/>
          <w:szCs w:val="20"/>
        </w:rPr>
        <w:t xml:space="preserve"> </w:t>
      </w:r>
      <w:r w:rsidR="00B058E3" w:rsidRPr="00B42E81">
        <w:rPr>
          <w:rFonts w:ascii="Arial" w:hAnsi="Arial" w:cs="Arial"/>
          <w:i/>
          <w:sz w:val="20"/>
          <w:szCs w:val="20"/>
        </w:rPr>
        <w:t>půl</w:t>
      </w:r>
      <w:r w:rsidR="00CC727D" w:rsidRPr="00B42E81">
        <w:rPr>
          <w:rFonts w:ascii="Arial" w:hAnsi="Arial" w:cs="Arial"/>
          <w:i/>
          <w:sz w:val="20"/>
          <w:szCs w:val="20"/>
        </w:rPr>
        <w:t xml:space="preserve">rok byl štědřejší hlavně pro investory investující do klasických akciových a komoditních fondů. </w:t>
      </w:r>
      <w:r w:rsidR="00AA1259" w:rsidRPr="00AA1259">
        <w:rPr>
          <w:rFonts w:ascii="Arial" w:hAnsi="Arial" w:cs="Arial"/>
          <w:i/>
          <w:sz w:val="20"/>
          <w:szCs w:val="20"/>
        </w:rPr>
        <w:t xml:space="preserve">Oba typy fondů vykazují </w:t>
      </w:r>
      <w:r w:rsidR="002D7A2E">
        <w:rPr>
          <w:rFonts w:ascii="Arial" w:hAnsi="Arial" w:cs="Arial"/>
          <w:i/>
          <w:sz w:val="20"/>
          <w:szCs w:val="20"/>
        </w:rPr>
        <w:t>za posledních 12 měsíců</w:t>
      </w:r>
      <w:r w:rsidR="002D7A2E" w:rsidRPr="00AA1259" w:rsidDel="00117FB4">
        <w:rPr>
          <w:rFonts w:ascii="Arial" w:hAnsi="Arial" w:cs="Arial"/>
          <w:i/>
          <w:sz w:val="20"/>
          <w:szCs w:val="20"/>
        </w:rPr>
        <w:t xml:space="preserve"> </w:t>
      </w:r>
      <w:r w:rsidR="00AA1259" w:rsidRPr="00AA1259">
        <w:rPr>
          <w:rFonts w:ascii="Arial" w:hAnsi="Arial" w:cs="Arial"/>
          <w:i/>
          <w:sz w:val="20"/>
          <w:szCs w:val="20"/>
        </w:rPr>
        <w:t>vysokou výkonnost, která je dána enormním růstem na kapitálových trzích, a to hlavně v minulém roce.</w:t>
      </w:r>
      <w:r w:rsidR="00AA1259" w:rsidRPr="00CC727D">
        <w:rPr>
          <w:rFonts w:ascii="Arial" w:hAnsi="Arial" w:cs="Arial"/>
          <w:sz w:val="20"/>
          <w:szCs w:val="20"/>
        </w:rPr>
        <w:t xml:space="preserve"> </w:t>
      </w:r>
      <w:r w:rsidR="000F5AB4" w:rsidRPr="00B42E81">
        <w:rPr>
          <w:rFonts w:ascii="Arial" w:hAnsi="Arial" w:cs="Arial"/>
          <w:i/>
          <w:sz w:val="20"/>
          <w:szCs w:val="20"/>
        </w:rPr>
        <w:t xml:space="preserve">Pozitivně </w:t>
      </w:r>
      <w:r w:rsidR="00CC727D" w:rsidRPr="00B42E81">
        <w:rPr>
          <w:rFonts w:ascii="Arial" w:hAnsi="Arial" w:cs="Arial"/>
          <w:i/>
          <w:sz w:val="20"/>
          <w:szCs w:val="20"/>
        </w:rPr>
        <w:t xml:space="preserve">zakončily </w:t>
      </w:r>
      <w:r w:rsidR="000F5AB4" w:rsidRPr="00B42E81">
        <w:rPr>
          <w:rFonts w:ascii="Arial" w:hAnsi="Arial" w:cs="Arial"/>
          <w:i/>
          <w:sz w:val="20"/>
          <w:szCs w:val="20"/>
        </w:rPr>
        <w:t xml:space="preserve">pololetí </w:t>
      </w:r>
      <w:r w:rsidR="00CC727D" w:rsidRPr="00B42E81">
        <w:rPr>
          <w:rFonts w:ascii="Arial" w:hAnsi="Arial" w:cs="Arial"/>
          <w:i/>
          <w:sz w:val="20"/>
          <w:szCs w:val="20"/>
        </w:rPr>
        <w:t>také nemovit</w:t>
      </w:r>
      <w:r w:rsidRPr="00B42E81">
        <w:rPr>
          <w:rFonts w:ascii="Arial" w:hAnsi="Arial" w:cs="Arial"/>
          <w:i/>
          <w:sz w:val="20"/>
          <w:szCs w:val="20"/>
        </w:rPr>
        <w:t>ostní fondy, které se blíží dvěma</w:t>
      </w:r>
      <w:r w:rsidR="00CC727D" w:rsidRPr="00B42E81">
        <w:rPr>
          <w:rFonts w:ascii="Arial" w:hAnsi="Arial" w:cs="Arial"/>
          <w:i/>
          <w:sz w:val="20"/>
          <w:szCs w:val="20"/>
        </w:rPr>
        <w:t xml:space="preserve"> procentům. </w:t>
      </w:r>
      <w:r w:rsidR="009F5B6E">
        <w:rPr>
          <w:rFonts w:ascii="Arial" w:hAnsi="Arial" w:cs="Arial"/>
          <w:i/>
          <w:sz w:val="20"/>
          <w:szCs w:val="20"/>
        </w:rPr>
        <w:t>Od za</w:t>
      </w:r>
      <w:r w:rsidR="00B42E81" w:rsidRPr="00B42E81">
        <w:rPr>
          <w:rFonts w:ascii="Arial" w:hAnsi="Arial" w:cs="Arial"/>
          <w:i/>
          <w:sz w:val="20"/>
          <w:szCs w:val="20"/>
        </w:rPr>
        <w:t xml:space="preserve">čátku roku se však nedaří </w:t>
      </w:r>
      <w:r w:rsidR="00CC727D" w:rsidRPr="00B42E81">
        <w:rPr>
          <w:rFonts w:ascii="Arial" w:hAnsi="Arial" w:cs="Arial"/>
          <w:i/>
          <w:sz w:val="20"/>
          <w:szCs w:val="20"/>
        </w:rPr>
        <w:t>dluhopisov</w:t>
      </w:r>
      <w:r w:rsidR="00B42E81" w:rsidRPr="00B42E81">
        <w:rPr>
          <w:rFonts w:ascii="Arial" w:hAnsi="Arial" w:cs="Arial"/>
          <w:i/>
          <w:sz w:val="20"/>
          <w:szCs w:val="20"/>
        </w:rPr>
        <w:t>ým</w:t>
      </w:r>
      <w:r w:rsidR="00CC727D" w:rsidRPr="00B42E81">
        <w:rPr>
          <w:rFonts w:ascii="Arial" w:hAnsi="Arial" w:cs="Arial"/>
          <w:i/>
          <w:sz w:val="20"/>
          <w:szCs w:val="20"/>
        </w:rPr>
        <w:t xml:space="preserve"> fond</w:t>
      </w:r>
      <w:r w:rsidR="00B42E81" w:rsidRPr="00B42E81">
        <w:rPr>
          <w:rFonts w:ascii="Arial" w:hAnsi="Arial" w:cs="Arial"/>
          <w:i/>
          <w:sz w:val="20"/>
          <w:szCs w:val="20"/>
        </w:rPr>
        <w:t>ům</w:t>
      </w:r>
      <w:r w:rsidR="00CC727D" w:rsidRPr="00B42E81">
        <w:rPr>
          <w:rFonts w:ascii="Arial" w:hAnsi="Arial" w:cs="Arial"/>
          <w:i/>
          <w:sz w:val="20"/>
          <w:szCs w:val="20"/>
        </w:rPr>
        <w:t xml:space="preserve"> a fond</w:t>
      </w:r>
      <w:r w:rsidR="00B42E81" w:rsidRPr="00B42E81">
        <w:rPr>
          <w:rFonts w:ascii="Arial" w:hAnsi="Arial" w:cs="Arial"/>
          <w:i/>
          <w:sz w:val="20"/>
          <w:szCs w:val="20"/>
        </w:rPr>
        <w:t>ům</w:t>
      </w:r>
      <w:r w:rsidR="00CC727D" w:rsidRPr="00B42E81">
        <w:rPr>
          <w:rFonts w:ascii="Arial" w:hAnsi="Arial" w:cs="Arial"/>
          <w:i/>
          <w:sz w:val="20"/>
          <w:szCs w:val="20"/>
        </w:rPr>
        <w:t xml:space="preserve"> peněžního trhu</w:t>
      </w:r>
      <w:r w:rsidR="00B42E81" w:rsidRPr="00B42E81">
        <w:rPr>
          <w:rFonts w:ascii="Arial" w:hAnsi="Arial" w:cs="Arial"/>
          <w:i/>
          <w:sz w:val="20"/>
          <w:szCs w:val="20"/>
        </w:rPr>
        <w:t>, které zakončily pololetí v záporných číslech,“</w:t>
      </w:r>
      <w:r w:rsidR="009F5B6E">
        <w:rPr>
          <w:rFonts w:ascii="Arial" w:hAnsi="Arial" w:cs="Arial"/>
          <w:sz w:val="20"/>
          <w:szCs w:val="20"/>
        </w:rPr>
        <w:t xml:space="preserve"> komentuje půlroční vývoj </w:t>
      </w:r>
      <w:r w:rsidR="00B42E81">
        <w:rPr>
          <w:rFonts w:ascii="Arial" w:hAnsi="Arial" w:cs="Arial"/>
          <w:sz w:val="20"/>
          <w:szCs w:val="20"/>
        </w:rPr>
        <w:t xml:space="preserve">sledovaných investičních fondů </w:t>
      </w:r>
      <w:r w:rsidR="00B42E81" w:rsidRPr="00B42E81">
        <w:rPr>
          <w:rFonts w:ascii="Arial" w:hAnsi="Arial" w:cs="Arial"/>
          <w:b/>
          <w:sz w:val="20"/>
          <w:szCs w:val="20"/>
        </w:rPr>
        <w:t>Lukáš Vokel, analytik konzervativních investic Broker Consulting</w:t>
      </w:r>
      <w:r w:rsidR="00B42E81">
        <w:rPr>
          <w:rFonts w:ascii="Arial" w:hAnsi="Arial" w:cs="Arial"/>
          <w:sz w:val="20"/>
          <w:szCs w:val="20"/>
        </w:rPr>
        <w:t>.</w:t>
      </w:r>
      <w:r w:rsidR="00CC727D" w:rsidRPr="00CC727D">
        <w:rPr>
          <w:rFonts w:ascii="Arial" w:hAnsi="Arial" w:cs="Arial"/>
          <w:sz w:val="20"/>
          <w:szCs w:val="20"/>
        </w:rPr>
        <w:t xml:space="preserve"> </w:t>
      </w:r>
    </w:p>
    <w:p w14:paraId="403EC1FA" w14:textId="77777777" w:rsidR="00CC727D" w:rsidRDefault="00CC727D" w:rsidP="00CC727D">
      <w:pPr>
        <w:jc w:val="both"/>
        <w:rPr>
          <w:rFonts w:ascii="Arial" w:hAnsi="Arial" w:cs="Arial"/>
          <w:sz w:val="20"/>
          <w:szCs w:val="20"/>
        </w:rPr>
      </w:pPr>
    </w:p>
    <w:p w14:paraId="69F4D90C" w14:textId="5F0F8648" w:rsidR="00CC727D" w:rsidRPr="00CC727D" w:rsidRDefault="00B42E81" w:rsidP="00CC727D">
      <w:pPr>
        <w:jc w:val="both"/>
        <w:rPr>
          <w:rFonts w:ascii="Arial" w:hAnsi="Arial" w:cs="Arial"/>
          <w:sz w:val="20"/>
          <w:szCs w:val="20"/>
        </w:rPr>
      </w:pPr>
      <w:r w:rsidRPr="00CC727D">
        <w:rPr>
          <w:rFonts w:ascii="Arial" w:hAnsi="Arial" w:cs="Arial"/>
          <w:sz w:val="20"/>
          <w:szCs w:val="20"/>
        </w:rPr>
        <w:t xml:space="preserve">Pozitivní nálada, která </w:t>
      </w:r>
      <w:r w:rsidR="009F5B6E" w:rsidRPr="00CC727D">
        <w:rPr>
          <w:rFonts w:ascii="Arial" w:hAnsi="Arial" w:cs="Arial"/>
          <w:sz w:val="20"/>
          <w:szCs w:val="20"/>
        </w:rPr>
        <w:t xml:space="preserve">během května </w:t>
      </w:r>
      <w:r w:rsidRPr="00CC727D">
        <w:rPr>
          <w:rFonts w:ascii="Arial" w:hAnsi="Arial" w:cs="Arial"/>
          <w:sz w:val="20"/>
          <w:szCs w:val="20"/>
        </w:rPr>
        <w:t>panovala na finančních trzích, se udržela</w:t>
      </w:r>
      <w:r w:rsidR="003606E0">
        <w:rPr>
          <w:rFonts w:ascii="Arial" w:hAnsi="Arial" w:cs="Arial"/>
          <w:sz w:val="20"/>
          <w:szCs w:val="20"/>
        </w:rPr>
        <w:t xml:space="preserve"> i</w:t>
      </w:r>
      <w:r w:rsidRPr="00CC727D">
        <w:rPr>
          <w:rFonts w:ascii="Arial" w:hAnsi="Arial" w:cs="Arial"/>
          <w:sz w:val="20"/>
          <w:szCs w:val="20"/>
        </w:rPr>
        <w:t xml:space="preserve"> v červnu. V</w:t>
      </w:r>
      <w:r w:rsidR="003606E0">
        <w:rPr>
          <w:rFonts w:ascii="Arial" w:hAnsi="Arial" w:cs="Arial"/>
          <w:sz w:val="20"/>
          <w:szCs w:val="20"/>
        </w:rPr>
        <w:t xml:space="preserve">ýraznou měrou </w:t>
      </w:r>
      <w:r>
        <w:rPr>
          <w:rFonts w:ascii="Arial" w:hAnsi="Arial" w:cs="Arial"/>
          <w:sz w:val="20"/>
          <w:szCs w:val="20"/>
        </w:rPr>
        <w:t xml:space="preserve">k ní </w:t>
      </w:r>
      <w:r w:rsidRPr="00CC727D">
        <w:rPr>
          <w:rFonts w:ascii="Arial" w:hAnsi="Arial" w:cs="Arial"/>
          <w:sz w:val="20"/>
          <w:szCs w:val="20"/>
        </w:rPr>
        <w:t>přispělo pokračující očkování popu</w:t>
      </w:r>
      <w:bookmarkStart w:id="0" w:name="_GoBack"/>
      <w:bookmarkEnd w:id="0"/>
      <w:r w:rsidRPr="00CC727D">
        <w:rPr>
          <w:rFonts w:ascii="Arial" w:hAnsi="Arial" w:cs="Arial"/>
          <w:sz w:val="20"/>
          <w:szCs w:val="20"/>
        </w:rPr>
        <w:t xml:space="preserve">lace proti </w:t>
      </w:r>
      <w:r w:rsidR="003606E0">
        <w:rPr>
          <w:rFonts w:ascii="Arial" w:hAnsi="Arial" w:cs="Arial"/>
          <w:sz w:val="20"/>
          <w:szCs w:val="20"/>
        </w:rPr>
        <w:t>nemoci covid</w:t>
      </w:r>
      <w:r w:rsidRPr="00CC727D">
        <w:rPr>
          <w:rFonts w:ascii="Arial" w:hAnsi="Arial" w:cs="Arial"/>
          <w:sz w:val="20"/>
          <w:szCs w:val="20"/>
        </w:rPr>
        <w:t>-19 a také klesající počty nakažených.</w:t>
      </w:r>
      <w:r>
        <w:rPr>
          <w:rFonts w:ascii="Arial" w:hAnsi="Arial" w:cs="Arial"/>
          <w:sz w:val="20"/>
          <w:szCs w:val="20"/>
        </w:rPr>
        <w:t xml:space="preserve"> </w:t>
      </w:r>
      <w:r w:rsidR="00CC727D" w:rsidRPr="00CC727D">
        <w:rPr>
          <w:rFonts w:ascii="Arial" w:hAnsi="Arial" w:cs="Arial"/>
          <w:sz w:val="20"/>
          <w:szCs w:val="20"/>
        </w:rPr>
        <w:t xml:space="preserve">Během června </w:t>
      </w:r>
      <w:r w:rsidR="003606E0">
        <w:rPr>
          <w:rFonts w:ascii="Arial" w:hAnsi="Arial" w:cs="Arial"/>
          <w:sz w:val="20"/>
          <w:szCs w:val="20"/>
        </w:rPr>
        <w:t xml:space="preserve">byly </w:t>
      </w:r>
      <w:r w:rsidR="00CC727D" w:rsidRPr="00CC727D">
        <w:rPr>
          <w:rFonts w:ascii="Arial" w:hAnsi="Arial" w:cs="Arial"/>
          <w:sz w:val="20"/>
          <w:szCs w:val="20"/>
        </w:rPr>
        <w:t xml:space="preserve">akciové trhy ovlivněny drobnou korekcí, </w:t>
      </w:r>
      <w:r w:rsidR="003606E0">
        <w:rPr>
          <w:rFonts w:ascii="Arial" w:hAnsi="Arial" w:cs="Arial"/>
          <w:sz w:val="20"/>
          <w:szCs w:val="20"/>
        </w:rPr>
        <w:t xml:space="preserve">nicméně </w:t>
      </w:r>
      <w:r w:rsidR="00CC727D" w:rsidRPr="00CC727D">
        <w:rPr>
          <w:rFonts w:ascii="Arial" w:hAnsi="Arial" w:cs="Arial"/>
          <w:sz w:val="20"/>
          <w:szCs w:val="20"/>
        </w:rPr>
        <w:t xml:space="preserve">konec měsíce se </w:t>
      </w:r>
      <w:r w:rsidR="003606E0">
        <w:rPr>
          <w:rFonts w:ascii="Arial" w:hAnsi="Arial" w:cs="Arial"/>
          <w:sz w:val="20"/>
          <w:szCs w:val="20"/>
        </w:rPr>
        <w:t>jim vydařil. Podle Broker Consulting I</w:t>
      </w:r>
      <w:r w:rsidR="00CC727D" w:rsidRPr="00CC727D">
        <w:rPr>
          <w:rFonts w:ascii="Arial" w:hAnsi="Arial" w:cs="Arial"/>
          <w:sz w:val="20"/>
          <w:szCs w:val="20"/>
        </w:rPr>
        <w:t xml:space="preserve">ndexu podílových fondů zakončily akciové fondy měsíc </w:t>
      </w:r>
      <w:r w:rsidR="00B927D5">
        <w:rPr>
          <w:rFonts w:ascii="Arial" w:hAnsi="Arial" w:cs="Arial"/>
          <w:sz w:val="20"/>
          <w:szCs w:val="20"/>
        </w:rPr>
        <w:t xml:space="preserve">červen </w:t>
      </w:r>
      <w:r w:rsidR="00CC727D" w:rsidRPr="00CC727D">
        <w:rPr>
          <w:rFonts w:ascii="Arial" w:hAnsi="Arial" w:cs="Arial"/>
          <w:sz w:val="20"/>
          <w:szCs w:val="20"/>
        </w:rPr>
        <w:t xml:space="preserve">s mírným </w:t>
      </w:r>
      <w:r w:rsidR="003606E0">
        <w:rPr>
          <w:rFonts w:ascii="Arial" w:hAnsi="Arial" w:cs="Arial"/>
          <w:sz w:val="20"/>
          <w:szCs w:val="20"/>
        </w:rPr>
        <w:t>ná</w:t>
      </w:r>
      <w:r w:rsidR="00CC727D" w:rsidRPr="00CC727D">
        <w:rPr>
          <w:rFonts w:ascii="Arial" w:hAnsi="Arial" w:cs="Arial"/>
          <w:sz w:val="20"/>
          <w:szCs w:val="20"/>
        </w:rPr>
        <w:t>růstem</w:t>
      </w:r>
      <w:r w:rsidR="00BA7889">
        <w:rPr>
          <w:rFonts w:ascii="Arial" w:hAnsi="Arial" w:cs="Arial"/>
          <w:sz w:val="20"/>
          <w:szCs w:val="20"/>
        </w:rPr>
        <w:t xml:space="preserve"> o 0,42 p. b.</w:t>
      </w:r>
      <w:r w:rsidR="003606E0">
        <w:rPr>
          <w:rFonts w:ascii="Arial" w:hAnsi="Arial" w:cs="Arial"/>
          <w:sz w:val="20"/>
          <w:szCs w:val="20"/>
        </w:rPr>
        <w:t>,</w:t>
      </w:r>
      <w:r w:rsidR="00CC727D" w:rsidRPr="00CC727D">
        <w:rPr>
          <w:rFonts w:ascii="Arial" w:hAnsi="Arial" w:cs="Arial"/>
          <w:sz w:val="20"/>
          <w:szCs w:val="20"/>
        </w:rPr>
        <w:t xml:space="preserve"> od začátku roku si </w:t>
      </w:r>
      <w:r w:rsidR="003606E0">
        <w:rPr>
          <w:rFonts w:ascii="Arial" w:hAnsi="Arial" w:cs="Arial"/>
          <w:sz w:val="20"/>
          <w:szCs w:val="20"/>
        </w:rPr>
        <w:t xml:space="preserve">tak </w:t>
      </w:r>
      <w:r w:rsidR="00CC727D" w:rsidRPr="00CC727D">
        <w:rPr>
          <w:rFonts w:ascii="Arial" w:hAnsi="Arial" w:cs="Arial"/>
          <w:sz w:val="20"/>
          <w:szCs w:val="20"/>
        </w:rPr>
        <w:t xml:space="preserve">připisují 8,16 %. Závěrem měsíce se hodnoty některých akciových indexů vyhouply na nová historická maxima. V červnu se dařilo </w:t>
      </w:r>
      <w:r w:rsidR="003606E0" w:rsidRPr="00CC727D">
        <w:rPr>
          <w:rFonts w:ascii="Arial" w:hAnsi="Arial" w:cs="Arial"/>
          <w:sz w:val="20"/>
          <w:szCs w:val="20"/>
        </w:rPr>
        <w:t xml:space="preserve">především </w:t>
      </w:r>
      <w:r w:rsidR="003606E0">
        <w:rPr>
          <w:rFonts w:ascii="Arial" w:hAnsi="Arial" w:cs="Arial"/>
          <w:sz w:val="20"/>
          <w:szCs w:val="20"/>
        </w:rPr>
        <w:t>technologickým společnostem. Příznivá situace naopak nebyla nakloněna</w:t>
      </w:r>
      <w:r w:rsidR="00CC727D" w:rsidRPr="00CC727D">
        <w:rPr>
          <w:rFonts w:ascii="Arial" w:hAnsi="Arial" w:cs="Arial"/>
          <w:sz w:val="20"/>
          <w:szCs w:val="20"/>
        </w:rPr>
        <w:t xml:space="preserve"> bankám a společnostem, které se podílejí na těžbě zlata. Při pohledu na výkonnost akcií od začátku roku</w:t>
      </w:r>
      <w:r w:rsidR="003606E0">
        <w:rPr>
          <w:rFonts w:ascii="Arial" w:hAnsi="Arial" w:cs="Arial"/>
          <w:sz w:val="20"/>
          <w:szCs w:val="20"/>
        </w:rPr>
        <w:t xml:space="preserve"> se jinak </w:t>
      </w:r>
      <w:r w:rsidR="00CC727D" w:rsidRPr="00CC727D">
        <w:rPr>
          <w:rFonts w:ascii="Arial" w:hAnsi="Arial" w:cs="Arial"/>
          <w:sz w:val="20"/>
          <w:szCs w:val="20"/>
        </w:rPr>
        <w:t>dařilo téměř všem regionům a sektorům.</w:t>
      </w:r>
    </w:p>
    <w:p w14:paraId="63ECA418" w14:textId="77777777" w:rsidR="00C57D56" w:rsidRDefault="00C57D56" w:rsidP="00C57D56">
      <w:pPr>
        <w:jc w:val="both"/>
        <w:rPr>
          <w:rFonts w:ascii="Arial" w:hAnsi="Arial" w:cs="Arial"/>
          <w:sz w:val="20"/>
          <w:szCs w:val="20"/>
        </w:rPr>
      </w:pPr>
    </w:p>
    <w:p w14:paraId="61431A16" w14:textId="23489551" w:rsidR="00AA1259" w:rsidRPr="00CC727D" w:rsidRDefault="00C57D56" w:rsidP="00C57D56">
      <w:pPr>
        <w:jc w:val="both"/>
        <w:rPr>
          <w:rFonts w:ascii="Arial" w:hAnsi="Arial" w:cs="Arial"/>
          <w:sz w:val="20"/>
          <w:szCs w:val="20"/>
        </w:rPr>
      </w:pPr>
      <w:r w:rsidRPr="00CC727D">
        <w:rPr>
          <w:rFonts w:ascii="Arial" w:hAnsi="Arial" w:cs="Arial"/>
          <w:sz w:val="20"/>
          <w:szCs w:val="20"/>
        </w:rPr>
        <w:t>Komoditní fondy mají za sebou silné období. Ceny komodit</w:t>
      </w:r>
      <w:r>
        <w:rPr>
          <w:rFonts w:ascii="Arial" w:hAnsi="Arial" w:cs="Arial"/>
          <w:sz w:val="20"/>
          <w:szCs w:val="20"/>
        </w:rPr>
        <w:t xml:space="preserve"> se</w:t>
      </w:r>
      <w:r w:rsidRPr="00CC727D">
        <w:rPr>
          <w:rFonts w:ascii="Arial" w:hAnsi="Arial" w:cs="Arial"/>
          <w:sz w:val="20"/>
          <w:szCs w:val="20"/>
        </w:rPr>
        <w:t xml:space="preserve"> letos </w:t>
      </w:r>
      <w:r w:rsidR="00AA1259">
        <w:rPr>
          <w:rFonts w:ascii="Arial" w:hAnsi="Arial" w:cs="Arial"/>
          <w:sz w:val="20"/>
          <w:szCs w:val="20"/>
        </w:rPr>
        <w:t>skokově</w:t>
      </w:r>
      <w:r w:rsidRPr="00CC727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zvýšily</w:t>
      </w:r>
      <w:r w:rsidRPr="00CC727D">
        <w:rPr>
          <w:rFonts w:ascii="Arial" w:hAnsi="Arial" w:cs="Arial"/>
          <w:sz w:val="20"/>
          <w:szCs w:val="20"/>
        </w:rPr>
        <w:t xml:space="preserve"> v prostředí výrazného růstu hospodářství, uvolněné měnové politiky, rostoucí inflace a problémů v rámci dodavatelských řetězců. </w:t>
      </w:r>
      <w:r w:rsidR="00AA1259">
        <w:rPr>
          <w:rFonts w:ascii="Arial" w:hAnsi="Arial" w:cs="Arial"/>
          <w:sz w:val="20"/>
          <w:szCs w:val="20"/>
        </w:rPr>
        <w:t>Avšak v</w:t>
      </w:r>
      <w:r w:rsidRPr="00CC727D">
        <w:rPr>
          <w:rFonts w:ascii="Arial" w:hAnsi="Arial" w:cs="Arial"/>
          <w:sz w:val="20"/>
          <w:szCs w:val="20"/>
        </w:rPr>
        <w:t xml:space="preserve"> posledních </w:t>
      </w:r>
      <w:r w:rsidR="00AA1259">
        <w:rPr>
          <w:rFonts w:ascii="Arial" w:hAnsi="Arial" w:cs="Arial"/>
          <w:sz w:val="20"/>
          <w:szCs w:val="20"/>
        </w:rPr>
        <w:t xml:space="preserve">několika </w:t>
      </w:r>
      <w:r w:rsidRPr="00CC727D">
        <w:rPr>
          <w:rFonts w:ascii="Arial" w:hAnsi="Arial" w:cs="Arial"/>
          <w:sz w:val="20"/>
          <w:szCs w:val="20"/>
        </w:rPr>
        <w:t xml:space="preserve">týdnech </w:t>
      </w:r>
      <w:r w:rsidR="00B927D5">
        <w:rPr>
          <w:rFonts w:ascii="Arial" w:hAnsi="Arial" w:cs="Arial"/>
          <w:sz w:val="20"/>
          <w:szCs w:val="20"/>
        </w:rPr>
        <w:t>u</w:t>
      </w:r>
      <w:r w:rsidRPr="00CC727D">
        <w:rPr>
          <w:rFonts w:ascii="Arial" w:hAnsi="Arial" w:cs="Arial"/>
          <w:sz w:val="20"/>
          <w:szCs w:val="20"/>
        </w:rPr>
        <w:t xml:space="preserve">ž </w:t>
      </w:r>
      <w:r w:rsidR="00AA1259">
        <w:rPr>
          <w:rFonts w:ascii="Arial" w:hAnsi="Arial" w:cs="Arial"/>
          <w:sz w:val="20"/>
          <w:szCs w:val="20"/>
        </w:rPr>
        <w:t xml:space="preserve">růst cen </w:t>
      </w:r>
      <w:r w:rsidRPr="00CC727D">
        <w:rPr>
          <w:rFonts w:ascii="Arial" w:hAnsi="Arial" w:cs="Arial"/>
          <w:sz w:val="20"/>
          <w:szCs w:val="20"/>
        </w:rPr>
        <w:t xml:space="preserve">nebyl tak výrazný jako dříve. </w:t>
      </w:r>
      <w:r w:rsidR="00AA1259">
        <w:rPr>
          <w:rFonts w:ascii="Arial" w:hAnsi="Arial" w:cs="Arial"/>
          <w:sz w:val="20"/>
          <w:szCs w:val="20"/>
        </w:rPr>
        <w:t>Značný</w:t>
      </w:r>
      <w:r w:rsidR="00AA1259" w:rsidRPr="00CC727D">
        <w:rPr>
          <w:rFonts w:ascii="Arial" w:hAnsi="Arial" w:cs="Arial"/>
          <w:sz w:val="20"/>
          <w:szCs w:val="20"/>
        </w:rPr>
        <w:t xml:space="preserve"> pokles </w:t>
      </w:r>
      <w:r w:rsidR="00AA1259">
        <w:rPr>
          <w:rFonts w:ascii="Arial" w:hAnsi="Arial" w:cs="Arial"/>
          <w:sz w:val="20"/>
          <w:szCs w:val="20"/>
        </w:rPr>
        <w:t>pak v</w:t>
      </w:r>
      <w:r w:rsidR="00AA1259" w:rsidRPr="00CC727D">
        <w:rPr>
          <w:rFonts w:ascii="Arial" w:hAnsi="Arial" w:cs="Arial"/>
          <w:sz w:val="20"/>
          <w:szCs w:val="20"/>
        </w:rPr>
        <w:t> průběhu června zaznamenal</w:t>
      </w:r>
      <w:r w:rsidR="00AA1259">
        <w:rPr>
          <w:rFonts w:ascii="Arial" w:hAnsi="Arial" w:cs="Arial"/>
          <w:sz w:val="20"/>
          <w:szCs w:val="20"/>
        </w:rPr>
        <w:t>y</w:t>
      </w:r>
      <w:r w:rsidR="00AA1259" w:rsidRPr="00CC727D">
        <w:rPr>
          <w:rFonts w:ascii="Arial" w:hAnsi="Arial" w:cs="Arial"/>
          <w:sz w:val="20"/>
          <w:szCs w:val="20"/>
        </w:rPr>
        <w:t xml:space="preserve"> </w:t>
      </w:r>
      <w:r w:rsidRPr="00CC727D">
        <w:rPr>
          <w:rFonts w:ascii="Arial" w:hAnsi="Arial" w:cs="Arial"/>
          <w:sz w:val="20"/>
          <w:szCs w:val="20"/>
        </w:rPr>
        <w:t>zlato a stříbro.</w:t>
      </w:r>
    </w:p>
    <w:p w14:paraId="3A06F2F2" w14:textId="77777777" w:rsidR="00CC727D" w:rsidRDefault="00CC727D" w:rsidP="00CC727D">
      <w:pPr>
        <w:jc w:val="both"/>
        <w:rPr>
          <w:rFonts w:ascii="Arial" w:hAnsi="Arial" w:cs="Arial"/>
          <w:sz w:val="20"/>
          <w:szCs w:val="20"/>
        </w:rPr>
      </w:pPr>
    </w:p>
    <w:p w14:paraId="713789A8" w14:textId="49D1B110" w:rsidR="00CC727D" w:rsidRPr="00CC727D" w:rsidRDefault="00CC727D" w:rsidP="00CC727D">
      <w:pPr>
        <w:jc w:val="both"/>
        <w:rPr>
          <w:rFonts w:ascii="Arial" w:hAnsi="Arial" w:cs="Arial"/>
          <w:sz w:val="20"/>
          <w:szCs w:val="20"/>
        </w:rPr>
      </w:pPr>
      <w:r w:rsidRPr="00CC727D">
        <w:rPr>
          <w:rFonts w:ascii="Arial" w:hAnsi="Arial" w:cs="Arial"/>
          <w:sz w:val="20"/>
          <w:szCs w:val="20"/>
        </w:rPr>
        <w:t xml:space="preserve">Dluhopisové fondy si od začátku </w:t>
      </w:r>
      <w:r w:rsidR="009F5B6E">
        <w:rPr>
          <w:rFonts w:ascii="Arial" w:hAnsi="Arial" w:cs="Arial"/>
          <w:sz w:val="20"/>
          <w:szCs w:val="20"/>
        </w:rPr>
        <w:t xml:space="preserve">letošního </w:t>
      </w:r>
      <w:r w:rsidRPr="00CC727D">
        <w:rPr>
          <w:rFonts w:ascii="Arial" w:hAnsi="Arial" w:cs="Arial"/>
          <w:sz w:val="20"/>
          <w:szCs w:val="20"/>
        </w:rPr>
        <w:t>roku připisují</w:t>
      </w:r>
      <w:r w:rsidR="00C54507">
        <w:rPr>
          <w:rFonts w:ascii="Arial" w:hAnsi="Arial" w:cs="Arial"/>
          <w:sz w:val="20"/>
          <w:szCs w:val="20"/>
        </w:rPr>
        <w:t xml:space="preserve"> ztrátu</w:t>
      </w:r>
      <w:r w:rsidRPr="00CC727D">
        <w:rPr>
          <w:rFonts w:ascii="Arial" w:hAnsi="Arial" w:cs="Arial"/>
          <w:sz w:val="20"/>
          <w:szCs w:val="20"/>
        </w:rPr>
        <w:t xml:space="preserve"> -2,73 %</w:t>
      </w:r>
      <w:r w:rsidR="00C54507">
        <w:rPr>
          <w:rFonts w:ascii="Arial" w:hAnsi="Arial" w:cs="Arial"/>
          <w:sz w:val="20"/>
          <w:szCs w:val="20"/>
        </w:rPr>
        <w:t xml:space="preserve">, </w:t>
      </w:r>
      <w:r w:rsidRPr="00CC727D">
        <w:rPr>
          <w:rFonts w:ascii="Arial" w:hAnsi="Arial" w:cs="Arial"/>
          <w:sz w:val="20"/>
          <w:szCs w:val="20"/>
        </w:rPr>
        <w:t xml:space="preserve">fondy peněžního trhu </w:t>
      </w:r>
      <w:r w:rsidR="00C54507">
        <w:rPr>
          <w:rFonts w:ascii="Arial" w:hAnsi="Arial" w:cs="Arial"/>
          <w:sz w:val="20"/>
          <w:szCs w:val="20"/>
        </w:rPr>
        <w:t xml:space="preserve">pak </w:t>
      </w:r>
      <w:r w:rsidRPr="00CC727D">
        <w:rPr>
          <w:rFonts w:ascii="Arial" w:hAnsi="Arial" w:cs="Arial"/>
          <w:sz w:val="20"/>
          <w:szCs w:val="20"/>
        </w:rPr>
        <w:t xml:space="preserve">-1,55 %. Nízká výkonnost těchto fondů je ovlivněna růstem výnosů do splatnosti u státních dluhopisů. </w:t>
      </w:r>
      <w:r w:rsidR="00C54507">
        <w:rPr>
          <w:rFonts w:ascii="Arial" w:hAnsi="Arial" w:cs="Arial"/>
          <w:sz w:val="20"/>
          <w:szCs w:val="20"/>
        </w:rPr>
        <w:t xml:space="preserve">Tento růst se však nyní </w:t>
      </w:r>
      <w:r w:rsidR="00C57D56">
        <w:rPr>
          <w:rFonts w:ascii="Arial" w:hAnsi="Arial" w:cs="Arial"/>
          <w:sz w:val="20"/>
          <w:szCs w:val="20"/>
        </w:rPr>
        <w:t>po</w:t>
      </w:r>
      <w:r w:rsidRPr="00CC727D">
        <w:rPr>
          <w:rFonts w:ascii="Arial" w:hAnsi="Arial" w:cs="Arial"/>
          <w:sz w:val="20"/>
          <w:szCs w:val="20"/>
        </w:rPr>
        <w:t xml:space="preserve">zastavil a u některých státních dluhopisů dokonce došlo k mírnému poklesu. </w:t>
      </w:r>
      <w:r w:rsidR="00117FB4">
        <w:rPr>
          <w:rFonts w:ascii="Arial" w:hAnsi="Arial" w:cs="Arial"/>
          <w:sz w:val="20"/>
          <w:szCs w:val="20"/>
        </w:rPr>
        <w:t>U českých státních dluhopisů se pozitivně</w:t>
      </w:r>
      <w:r w:rsidR="00C54507">
        <w:rPr>
          <w:rFonts w:ascii="Arial" w:hAnsi="Arial" w:cs="Arial"/>
          <w:sz w:val="20"/>
          <w:szCs w:val="20"/>
        </w:rPr>
        <w:t xml:space="preserve"> projevuje stabilní</w:t>
      </w:r>
      <w:r w:rsidRPr="00CC727D">
        <w:rPr>
          <w:rFonts w:ascii="Arial" w:hAnsi="Arial" w:cs="Arial"/>
          <w:sz w:val="20"/>
          <w:szCs w:val="20"/>
        </w:rPr>
        <w:t xml:space="preserve"> zájem investorů v primárních aukcích nových dluhopisů Ministerstva financí</w:t>
      </w:r>
      <w:r w:rsidR="00C54507">
        <w:rPr>
          <w:rFonts w:ascii="Arial" w:hAnsi="Arial" w:cs="Arial"/>
          <w:sz w:val="20"/>
          <w:szCs w:val="20"/>
        </w:rPr>
        <w:t xml:space="preserve">, podle jehož údajů </w:t>
      </w:r>
      <w:r w:rsidRPr="00CC727D">
        <w:rPr>
          <w:rFonts w:ascii="Arial" w:hAnsi="Arial" w:cs="Arial"/>
          <w:sz w:val="20"/>
          <w:szCs w:val="20"/>
        </w:rPr>
        <w:t>se podíl nerezidentů na celkové držbě českých státních dluhopisů pohybuje stále lehce nad 30 %.</w:t>
      </w:r>
    </w:p>
    <w:p w14:paraId="02FD5958" w14:textId="77777777" w:rsidR="00CC727D" w:rsidRDefault="00CC727D" w:rsidP="00CC727D">
      <w:pPr>
        <w:jc w:val="both"/>
        <w:rPr>
          <w:rFonts w:ascii="Arial" w:hAnsi="Arial" w:cs="Arial"/>
          <w:sz w:val="20"/>
          <w:szCs w:val="20"/>
        </w:rPr>
      </w:pPr>
    </w:p>
    <w:p w14:paraId="7AA8EC3C" w14:textId="26D06A0C" w:rsidR="00CC727D" w:rsidRPr="00CC727D" w:rsidRDefault="00C57D56" w:rsidP="00CC727D">
      <w:pPr>
        <w:jc w:val="both"/>
        <w:rPr>
          <w:rFonts w:ascii="Arial" w:hAnsi="Arial" w:cs="Arial"/>
          <w:sz w:val="20"/>
          <w:szCs w:val="20"/>
        </w:rPr>
      </w:pPr>
      <w:r w:rsidRPr="00CC727D">
        <w:rPr>
          <w:rFonts w:ascii="Arial" w:hAnsi="Arial" w:cs="Arial"/>
          <w:sz w:val="20"/>
          <w:szCs w:val="20"/>
        </w:rPr>
        <w:t xml:space="preserve">České nemovitostní fondy jsou známé svou nízkou volatilitou a do jisté míry stabilním výnosem. </w:t>
      </w:r>
      <w:r>
        <w:rPr>
          <w:rFonts w:ascii="Arial" w:hAnsi="Arial" w:cs="Arial"/>
          <w:sz w:val="20"/>
          <w:szCs w:val="20"/>
        </w:rPr>
        <w:t>Z červnového Indexu vyplývá, že</w:t>
      </w:r>
      <w:r w:rsidRPr="00CC727D">
        <w:rPr>
          <w:rFonts w:ascii="Arial" w:hAnsi="Arial" w:cs="Arial"/>
          <w:sz w:val="20"/>
          <w:szCs w:val="20"/>
        </w:rPr>
        <w:t xml:space="preserve"> nemovitostní fondy </w:t>
      </w:r>
      <w:r>
        <w:rPr>
          <w:rFonts w:ascii="Arial" w:hAnsi="Arial" w:cs="Arial"/>
          <w:sz w:val="20"/>
          <w:szCs w:val="20"/>
        </w:rPr>
        <w:t xml:space="preserve">meziměsíčně posílily o 0,65 % a </w:t>
      </w:r>
      <w:r w:rsidRPr="00CC727D">
        <w:rPr>
          <w:rFonts w:ascii="Arial" w:hAnsi="Arial" w:cs="Arial"/>
          <w:sz w:val="20"/>
          <w:szCs w:val="20"/>
        </w:rPr>
        <w:t xml:space="preserve">od začátku </w:t>
      </w:r>
      <w:r>
        <w:rPr>
          <w:rFonts w:ascii="Arial" w:hAnsi="Arial" w:cs="Arial"/>
          <w:sz w:val="20"/>
          <w:szCs w:val="20"/>
        </w:rPr>
        <w:t xml:space="preserve">letošního </w:t>
      </w:r>
      <w:r w:rsidRPr="00CC727D">
        <w:rPr>
          <w:rFonts w:ascii="Arial" w:hAnsi="Arial" w:cs="Arial"/>
          <w:sz w:val="20"/>
          <w:szCs w:val="20"/>
        </w:rPr>
        <w:t xml:space="preserve">roku </w:t>
      </w:r>
      <w:r>
        <w:rPr>
          <w:rFonts w:ascii="Arial" w:hAnsi="Arial" w:cs="Arial"/>
          <w:sz w:val="20"/>
          <w:szCs w:val="20"/>
        </w:rPr>
        <w:t xml:space="preserve">si připisují nárůst </w:t>
      </w:r>
      <w:r w:rsidR="009F5B6E">
        <w:rPr>
          <w:rFonts w:ascii="Arial" w:hAnsi="Arial" w:cs="Arial"/>
          <w:sz w:val="20"/>
          <w:szCs w:val="20"/>
        </w:rPr>
        <w:t xml:space="preserve">o </w:t>
      </w:r>
      <w:r>
        <w:rPr>
          <w:rFonts w:ascii="Arial" w:hAnsi="Arial" w:cs="Arial"/>
          <w:sz w:val="20"/>
          <w:szCs w:val="20"/>
        </w:rPr>
        <w:t xml:space="preserve">1,82 </w:t>
      </w:r>
      <w:r w:rsidR="00CC727D" w:rsidRPr="00CC727D">
        <w:rPr>
          <w:rFonts w:ascii="Arial" w:hAnsi="Arial" w:cs="Arial"/>
          <w:sz w:val="20"/>
          <w:szCs w:val="20"/>
        </w:rPr>
        <w:t xml:space="preserve">%. Na trhu rezidenčních nemovitostí je růst ještě znatelnější a téměř nic nenapovídá tomu, že by </w:t>
      </w:r>
      <w:r>
        <w:rPr>
          <w:rFonts w:ascii="Arial" w:hAnsi="Arial" w:cs="Arial"/>
          <w:sz w:val="20"/>
          <w:szCs w:val="20"/>
        </w:rPr>
        <w:t xml:space="preserve">se tento trend měl změnit. </w:t>
      </w:r>
    </w:p>
    <w:p w14:paraId="6FE21754" w14:textId="28EA0EBA" w:rsidR="00CC727D" w:rsidRDefault="00CC727D" w:rsidP="00CC727D">
      <w:pPr>
        <w:jc w:val="both"/>
        <w:rPr>
          <w:rFonts w:ascii="Arial" w:hAnsi="Arial" w:cs="Arial"/>
          <w:sz w:val="20"/>
          <w:szCs w:val="20"/>
        </w:rPr>
      </w:pPr>
    </w:p>
    <w:p w14:paraId="3643BAA8" w14:textId="77777777" w:rsidR="003A4F52" w:rsidRDefault="003A4F52" w:rsidP="00CC727D">
      <w:pPr>
        <w:jc w:val="both"/>
        <w:rPr>
          <w:rFonts w:ascii="Arial" w:hAnsi="Arial" w:cs="Arial"/>
          <w:sz w:val="20"/>
          <w:szCs w:val="20"/>
        </w:rPr>
      </w:pPr>
    </w:p>
    <w:p w14:paraId="169D1051" w14:textId="69E923B0" w:rsidR="00CC727D" w:rsidRPr="00CC727D" w:rsidRDefault="00AA1259" w:rsidP="00CC727D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Doporučení Lukáš </w:t>
      </w:r>
      <w:proofErr w:type="spellStart"/>
      <w:r>
        <w:rPr>
          <w:rFonts w:ascii="Arial" w:hAnsi="Arial" w:cs="Arial"/>
          <w:b/>
          <w:sz w:val="20"/>
          <w:szCs w:val="20"/>
        </w:rPr>
        <w:t>Vokela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: </w:t>
      </w:r>
      <w:r w:rsidR="003A4F52">
        <w:rPr>
          <w:rFonts w:ascii="Arial" w:hAnsi="Arial" w:cs="Arial"/>
          <w:b/>
          <w:sz w:val="20"/>
          <w:szCs w:val="20"/>
        </w:rPr>
        <w:t xml:space="preserve">U </w:t>
      </w:r>
      <w:r w:rsidR="00CC727D" w:rsidRPr="00CC727D">
        <w:rPr>
          <w:rFonts w:ascii="Arial" w:hAnsi="Arial" w:cs="Arial"/>
          <w:b/>
          <w:sz w:val="20"/>
          <w:szCs w:val="20"/>
        </w:rPr>
        <w:t>investování je důleži</w:t>
      </w:r>
      <w:r w:rsidR="003A4F52">
        <w:rPr>
          <w:rFonts w:ascii="Arial" w:hAnsi="Arial" w:cs="Arial"/>
          <w:b/>
          <w:sz w:val="20"/>
          <w:szCs w:val="20"/>
        </w:rPr>
        <w:t>tá pravidelnost</w:t>
      </w:r>
    </w:p>
    <w:p w14:paraId="7587F140" w14:textId="7C67FCC1" w:rsidR="00CC727D" w:rsidRPr="00CC727D" w:rsidRDefault="00CC727D" w:rsidP="00CC727D">
      <w:pPr>
        <w:jc w:val="both"/>
        <w:rPr>
          <w:rFonts w:ascii="Arial" w:hAnsi="Arial" w:cs="Arial"/>
          <w:sz w:val="20"/>
          <w:szCs w:val="20"/>
        </w:rPr>
      </w:pPr>
      <w:r w:rsidRPr="00CC727D">
        <w:rPr>
          <w:rFonts w:ascii="Arial" w:hAnsi="Arial" w:cs="Arial"/>
          <w:sz w:val="20"/>
          <w:szCs w:val="20"/>
        </w:rPr>
        <w:t xml:space="preserve">Investování na pravidelné bázi </w:t>
      </w:r>
      <w:r w:rsidR="003A4F52">
        <w:rPr>
          <w:rFonts w:ascii="Arial" w:hAnsi="Arial" w:cs="Arial"/>
          <w:sz w:val="20"/>
          <w:szCs w:val="20"/>
        </w:rPr>
        <w:t>je pro začínající i zkušené investory hlavním klíčem k úspěchu. N</w:t>
      </w:r>
      <w:r w:rsidRPr="00CC727D">
        <w:rPr>
          <w:rFonts w:ascii="Arial" w:hAnsi="Arial" w:cs="Arial"/>
          <w:sz w:val="20"/>
          <w:szCs w:val="20"/>
        </w:rPr>
        <w:t>ezáleží přitom na době zahájení investice. Investoři, kteří investují pravidelně, se drží strategie průměrování nákladů, ať o tom vědí</w:t>
      </w:r>
      <w:r w:rsidR="003A4F52">
        <w:rPr>
          <w:rFonts w:ascii="Arial" w:hAnsi="Arial" w:cs="Arial"/>
          <w:sz w:val="20"/>
          <w:szCs w:val="20"/>
        </w:rPr>
        <w:t>,</w:t>
      </w:r>
      <w:r w:rsidRPr="00CC727D">
        <w:rPr>
          <w:rFonts w:ascii="Arial" w:hAnsi="Arial" w:cs="Arial"/>
          <w:sz w:val="20"/>
          <w:szCs w:val="20"/>
        </w:rPr>
        <w:t xml:space="preserve"> či nikoliv. Pravidelné investování i během propadů </w:t>
      </w:r>
      <w:r w:rsidR="003A4F52">
        <w:rPr>
          <w:rFonts w:ascii="Arial" w:hAnsi="Arial" w:cs="Arial"/>
          <w:sz w:val="20"/>
          <w:szCs w:val="20"/>
        </w:rPr>
        <w:t xml:space="preserve">na trzích </w:t>
      </w:r>
      <w:r w:rsidRPr="00CC727D">
        <w:rPr>
          <w:rFonts w:ascii="Arial" w:hAnsi="Arial" w:cs="Arial"/>
          <w:sz w:val="20"/>
          <w:szCs w:val="20"/>
        </w:rPr>
        <w:t xml:space="preserve">přináší </w:t>
      </w:r>
      <w:r w:rsidR="003A4F52">
        <w:rPr>
          <w:rFonts w:ascii="Arial" w:hAnsi="Arial" w:cs="Arial"/>
          <w:sz w:val="20"/>
          <w:szCs w:val="20"/>
        </w:rPr>
        <w:t>investorům možnost nakupovat</w:t>
      </w:r>
      <w:r w:rsidRPr="00CC727D">
        <w:rPr>
          <w:rFonts w:ascii="Arial" w:hAnsi="Arial" w:cs="Arial"/>
          <w:sz w:val="20"/>
          <w:szCs w:val="20"/>
        </w:rPr>
        <w:t xml:space="preserve"> za příznivější ceny</w:t>
      </w:r>
      <w:r w:rsidR="003A4F52">
        <w:rPr>
          <w:rFonts w:ascii="Arial" w:hAnsi="Arial" w:cs="Arial"/>
          <w:sz w:val="20"/>
          <w:szCs w:val="20"/>
        </w:rPr>
        <w:t>,</w:t>
      </w:r>
      <w:r w:rsidRPr="00CC727D">
        <w:rPr>
          <w:rFonts w:ascii="Arial" w:hAnsi="Arial" w:cs="Arial"/>
          <w:sz w:val="20"/>
          <w:szCs w:val="20"/>
        </w:rPr>
        <w:t xml:space="preserve"> </w:t>
      </w:r>
      <w:r w:rsidR="003A4F52">
        <w:rPr>
          <w:rFonts w:ascii="Arial" w:hAnsi="Arial" w:cs="Arial"/>
          <w:sz w:val="20"/>
          <w:szCs w:val="20"/>
        </w:rPr>
        <w:t xml:space="preserve">přičemž dochází </w:t>
      </w:r>
      <w:r w:rsidRPr="00CC727D">
        <w:rPr>
          <w:rFonts w:ascii="Arial" w:hAnsi="Arial" w:cs="Arial"/>
          <w:sz w:val="20"/>
          <w:szCs w:val="20"/>
        </w:rPr>
        <w:t>ke snížení průměrné nákupní ceny</w:t>
      </w:r>
      <w:r w:rsidR="003A4F52">
        <w:rPr>
          <w:rFonts w:ascii="Arial" w:hAnsi="Arial" w:cs="Arial"/>
          <w:sz w:val="20"/>
          <w:szCs w:val="20"/>
        </w:rPr>
        <w:t xml:space="preserve"> jednotlivých aktiv</w:t>
      </w:r>
      <w:r w:rsidRPr="00CC727D">
        <w:rPr>
          <w:rFonts w:ascii="Arial" w:hAnsi="Arial" w:cs="Arial"/>
          <w:sz w:val="20"/>
          <w:szCs w:val="20"/>
        </w:rPr>
        <w:t>.</w:t>
      </w:r>
    </w:p>
    <w:p w14:paraId="60D8E567" w14:textId="1D48B2C9" w:rsidR="00CC580E" w:rsidRPr="00CC727D" w:rsidRDefault="00CC580E" w:rsidP="00807CDD">
      <w:pPr>
        <w:rPr>
          <w:rFonts w:ascii="Arial" w:hAnsi="Arial" w:cs="Arial"/>
          <w:color w:val="FF0000"/>
          <w:sz w:val="20"/>
          <w:szCs w:val="20"/>
        </w:rPr>
      </w:pPr>
    </w:p>
    <w:tbl>
      <w:tblPr>
        <w:tblpPr w:leftFromText="141" w:rightFromText="141" w:vertAnchor="text" w:horzAnchor="margin" w:tblpY="101"/>
        <w:tblW w:w="10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4"/>
        <w:gridCol w:w="1509"/>
        <w:gridCol w:w="1509"/>
        <w:gridCol w:w="1509"/>
        <w:gridCol w:w="1509"/>
        <w:gridCol w:w="1520"/>
      </w:tblGrid>
      <w:tr w:rsidR="00CC727D" w:rsidRPr="007E0A3F" w14:paraId="4451853B" w14:textId="77777777" w:rsidTr="00BB3F93">
        <w:trPr>
          <w:trHeight w:val="275"/>
        </w:trPr>
        <w:tc>
          <w:tcPr>
            <w:tcW w:w="102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0000"/>
            <w:vAlign w:val="center"/>
            <w:hideMark/>
          </w:tcPr>
          <w:p w14:paraId="578591DC" w14:textId="77777777" w:rsidR="00CC727D" w:rsidRDefault="00CC727D" w:rsidP="00BB3F93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7E0A3F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  <w:t>Broker Consulting Index podílových fondů</w:t>
            </w:r>
          </w:p>
          <w:p w14:paraId="0F261DCA" w14:textId="1FE2B6A5" w:rsidR="00CC727D" w:rsidRPr="00CC727D" w:rsidRDefault="00CC727D" w:rsidP="00BB3F93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0"/>
                <w:szCs w:val="10"/>
              </w:rPr>
            </w:pPr>
          </w:p>
        </w:tc>
      </w:tr>
      <w:tr w:rsidR="00CC727D" w:rsidRPr="007E0A3F" w14:paraId="77741DFD" w14:textId="77777777" w:rsidTr="00BB3F93">
        <w:trPr>
          <w:trHeight w:val="258"/>
        </w:trPr>
        <w:tc>
          <w:tcPr>
            <w:tcW w:w="27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67100C7" w14:textId="77777777" w:rsidR="00CC727D" w:rsidRPr="007E0A3F" w:rsidRDefault="00CC727D" w:rsidP="00BB3F93">
            <w:pP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7E0A3F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Typ fondu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8378BB0" w14:textId="77777777" w:rsidR="00CC727D" w:rsidRPr="007E0A3F" w:rsidRDefault="00CC727D" w:rsidP="00BB3F93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7E0A3F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1 měsíc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5F6BE05" w14:textId="2EA03A05" w:rsidR="00CC727D" w:rsidRPr="007E0A3F" w:rsidRDefault="00CC727D" w:rsidP="00BB3F93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7E0A3F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YTD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C727D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</w:rPr>
              <w:t>(od počátku letošního roku)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5E4B2EA" w14:textId="77777777" w:rsidR="00CC727D" w:rsidRPr="007E0A3F" w:rsidRDefault="00CC727D" w:rsidP="00BB3F93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7E0A3F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 xml:space="preserve">12 měsíců 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51B08077" w14:textId="77777777" w:rsidR="00CC727D" w:rsidRPr="007E0A3F" w:rsidRDefault="00CC727D" w:rsidP="00BB3F93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7E0A3F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 xml:space="preserve">36 měsíců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B3D3DAD" w14:textId="77777777" w:rsidR="00CC727D" w:rsidRPr="007E0A3F" w:rsidRDefault="00CC727D" w:rsidP="00BB3F93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7E0A3F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 xml:space="preserve">60 měsíců </w:t>
            </w:r>
          </w:p>
        </w:tc>
      </w:tr>
      <w:tr w:rsidR="00CC727D" w:rsidRPr="007E0A3F" w14:paraId="5B030646" w14:textId="77777777" w:rsidTr="00BB3F93">
        <w:trPr>
          <w:trHeight w:val="258"/>
        </w:trPr>
        <w:tc>
          <w:tcPr>
            <w:tcW w:w="27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F74C3" w14:textId="77777777" w:rsidR="00CC727D" w:rsidRPr="007E0A3F" w:rsidRDefault="00CC727D" w:rsidP="00BB3F93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E0A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Akciové fondy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F2E70" w14:textId="1F2C77A0" w:rsidR="00CC727D" w:rsidRPr="00B927D5" w:rsidRDefault="00CC727D" w:rsidP="00BB3F9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7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0,42 %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45511B" w14:textId="1DE735F2" w:rsidR="00CC727D" w:rsidRPr="007E0A3F" w:rsidRDefault="00CC727D" w:rsidP="00BB3F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0A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8,16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7E0A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457186" w14:textId="242A36AC" w:rsidR="00CC727D" w:rsidRPr="007E0A3F" w:rsidRDefault="00CC727D" w:rsidP="00BB3F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0A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33,67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7E0A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20C6C6" w14:textId="02801BB6" w:rsidR="00CC727D" w:rsidRPr="007E0A3F" w:rsidRDefault="00CC727D" w:rsidP="00BB3F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0A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26,80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7E0A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64A09" w14:textId="53606849" w:rsidR="00CC727D" w:rsidRPr="007E0A3F" w:rsidRDefault="00CC727D" w:rsidP="00BB3F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0A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52,09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7E0A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CC727D" w:rsidRPr="007E0A3F" w14:paraId="5A773D58" w14:textId="77777777" w:rsidTr="00BB3F93">
        <w:trPr>
          <w:trHeight w:val="258"/>
        </w:trPr>
        <w:tc>
          <w:tcPr>
            <w:tcW w:w="27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149575" w14:textId="77777777" w:rsidR="00CC727D" w:rsidRPr="007E0A3F" w:rsidRDefault="00CC727D" w:rsidP="00BB3F93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E0A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Dluhopisové fondy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B65DCF" w14:textId="07F5F651" w:rsidR="00CC727D" w:rsidRPr="00B927D5" w:rsidRDefault="00CC727D" w:rsidP="00BB3F9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7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-0,06 %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39796E" w14:textId="4A0D53BD" w:rsidR="00CC727D" w:rsidRPr="007E0A3F" w:rsidRDefault="00CC727D" w:rsidP="00BB3F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0A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-2,73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7E0A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469BF" w14:textId="3B9D7F52" w:rsidR="00CC727D" w:rsidRPr="007E0A3F" w:rsidRDefault="00CC727D" w:rsidP="00BB3F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0A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-1,68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7E0A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8996BC" w14:textId="07B3C394" w:rsidR="00CC727D" w:rsidRPr="007E0A3F" w:rsidRDefault="00CC727D" w:rsidP="00BB3F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0A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1,72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7E0A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875AC" w14:textId="348DA863" w:rsidR="00CC727D" w:rsidRPr="007E0A3F" w:rsidRDefault="00CC727D" w:rsidP="00BB3F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0A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-5,05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7E0A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CC727D" w:rsidRPr="007E0A3F" w14:paraId="2179E79D" w14:textId="77777777" w:rsidTr="00BB3F93">
        <w:trPr>
          <w:trHeight w:val="258"/>
        </w:trPr>
        <w:tc>
          <w:tcPr>
            <w:tcW w:w="27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794E88" w14:textId="77777777" w:rsidR="00CC727D" w:rsidRPr="007E0A3F" w:rsidRDefault="00CC727D" w:rsidP="00BB3F93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E0A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Fondy peněžního trhu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C69105" w14:textId="01F735F4" w:rsidR="00CC727D" w:rsidRPr="00B927D5" w:rsidRDefault="00CC727D" w:rsidP="00BB3F9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7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-0,10 %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64FF2" w14:textId="7C5256CB" w:rsidR="00CC727D" w:rsidRPr="007E0A3F" w:rsidRDefault="00CC727D" w:rsidP="00BB3F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0A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-1,55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7E0A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25DCAB" w14:textId="125AACA2" w:rsidR="00CC727D" w:rsidRPr="007E0A3F" w:rsidRDefault="00CC727D" w:rsidP="00BB3F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0A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-1,51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7E0A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8F593A" w14:textId="1662A990" w:rsidR="00CC727D" w:rsidRPr="007E0A3F" w:rsidRDefault="00CC727D" w:rsidP="00BB3F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0A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4,32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7E0A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5EB606" w14:textId="3981BF13" w:rsidR="00CC727D" w:rsidRPr="007E0A3F" w:rsidRDefault="00CC727D" w:rsidP="00BB3F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0A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1,87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7E0A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CC727D" w:rsidRPr="007E0A3F" w14:paraId="0BC964FA" w14:textId="77777777" w:rsidTr="00BB3F93">
        <w:trPr>
          <w:trHeight w:val="258"/>
        </w:trPr>
        <w:tc>
          <w:tcPr>
            <w:tcW w:w="27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B726EF" w14:textId="77777777" w:rsidR="00CC727D" w:rsidRPr="007E0A3F" w:rsidRDefault="00CC727D" w:rsidP="00BB3F93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E0A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Komoditní fondy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5D81CD" w14:textId="03DD91C9" w:rsidR="00CC727D" w:rsidRPr="00B927D5" w:rsidRDefault="00CC727D" w:rsidP="00BB3F9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7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1,46 %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4993A8" w14:textId="7DD8A17A" w:rsidR="00CC727D" w:rsidRPr="007E0A3F" w:rsidRDefault="00CC727D" w:rsidP="00BB3F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0A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19,07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7E0A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B24304" w14:textId="6F57B228" w:rsidR="00CC727D" w:rsidRPr="007E0A3F" w:rsidRDefault="00CC727D" w:rsidP="00BB3F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0A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48,06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7E0A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19FA9" w14:textId="620FA489" w:rsidR="00CC727D" w:rsidRPr="007E0A3F" w:rsidRDefault="00CC727D" w:rsidP="00BB3F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0A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14,67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7E0A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6DA81" w14:textId="418BFEF7" w:rsidR="00CC727D" w:rsidRPr="007E0A3F" w:rsidRDefault="00CC727D" w:rsidP="00BB3F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0A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18,27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7E0A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CC727D" w:rsidRPr="007E0A3F" w14:paraId="5E1678FD" w14:textId="77777777" w:rsidTr="00BB3F93">
        <w:trPr>
          <w:trHeight w:val="258"/>
        </w:trPr>
        <w:tc>
          <w:tcPr>
            <w:tcW w:w="27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3383B1" w14:textId="77777777" w:rsidR="00CC727D" w:rsidRPr="007E0A3F" w:rsidRDefault="00CC727D" w:rsidP="00BB3F93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E0A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Nemovitostní fondy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4FF1F7" w14:textId="662E6BB7" w:rsidR="00CC727D" w:rsidRPr="00B927D5" w:rsidRDefault="00CC727D" w:rsidP="00BB3F9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7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0,65 %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29AAC" w14:textId="7AB7CFB6" w:rsidR="00CC727D" w:rsidRPr="007E0A3F" w:rsidRDefault="00CC727D" w:rsidP="00BB3F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0A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1,82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7E0A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F4A1C3" w14:textId="78A865D6" w:rsidR="00CC727D" w:rsidRPr="007E0A3F" w:rsidRDefault="00CC727D" w:rsidP="00BB3F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0A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2,39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7E0A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EE712F" w14:textId="0D28054F" w:rsidR="00CC727D" w:rsidRPr="007E0A3F" w:rsidRDefault="00CC727D" w:rsidP="00BB3F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0A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11,77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7E0A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78EC84" w14:textId="32C11303" w:rsidR="00CC727D" w:rsidRPr="007E0A3F" w:rsidRDefault="00CC727D" w:rsidP="00BB3F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0A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20,16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7E0A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</w:tbl>
    <w:p w14:paraId="0B188DD4" w14:textId="57AC9E1C" w:rsidR="00F63CCA" w:rsidRDefault="00F63CCA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44C83005" w14:textId="313CA0F6" w:rsidR="00DC3F71" w:rsidRDefault="00DC3F71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618BBF76" w14:textId="03AF9BDE" w:rsidR="00E6319B" w:rsidRPr="00D21E1C" w:rsidRDefault="00E6319B" w:rsidP="00A12A99">
      <w:pPr>
        <w:jc w:val="both"/>
        <w:rPr>
          <w:rFonts w:ascii="Arial" w:hAnsi="Arial" w:cs="Arial"/>
          <w:color w:val="1D1D1B"/>
          <w:w w:val="105"/>
          <w:sz w:val="20"/>
          <w:szCs w:val="20"/>
        </w:rPr>
      </w:pPr>
      <w:r w:rsidRPr="00957DEA">
        <w:rPr>
          <w:rFonts w:ascii="Arial" w:hAnsi="Arial" w:cs="Arial"/>
          <w:b/>
          <w:sz w:val="20"/>
          <w:szCs w:val="20"/>
        </w:rPr>
        <w:t>Poznámka pro média:</w:t>
      </w:r>
      <w:r w:rsidRPr="00957DEA">
        <w:rPr>
          <w:rFonts w:ascii="Arial" w:hAnsi="Arial" w:cs="Arial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Indexy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je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možné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volně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spacing w:val="2"/>
          <w:w w:val="105"/>
          <w:sz w:val="20"/>
          <w:szCs w:val="20"/>
        </w:rPr>
        <w:t>publikovat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pouze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s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označením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„Broker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Index“</w:t>
      </w:r>
      <w:r w:rsidR="00957DEA"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>(</w:t>
      </w:r>
      <w:r w:rsidR="00670237"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>např.</w:t>
      </w:r>
      <w:r w:rsidR="00957DEA"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hypoteční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="00D21E1C">
        <w:rPr>
          <w:rFonts w:ascii="Arial" w:hAnsi="Arial" w:cs="Arial"/>
          <w:color w:val="1D1D1B"/>
          <w:w w:val="105"/>
          <w:sz w:val="20"/>
          <w:szCs w:val="20"/>
        </w:rPr>
        <w:t xml:space="preserve">index).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 xml:space="preserve">Více informací najdete též na </w:t>
      </w:r>
      <w:r w:rsidR="00E32181">
        <w:rPr>
          <w:rFonts w:ascii="Arial" w:hAnsi="Arial" w:cs="Arial"/>
          <w:color w:val="1D1D1B"/>
          <w:w w:val="105"/>
          <w:sz w:val="20"/>
          <w:szCs w:val="20"/>
        </w:rPr>
        <w:t xml:space="preserve">stránkách </w:t>
      </w:r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www.bcas.cz/</w:t>
      </w:r>
      <w:proofErr w:type="spellStart"/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onas</w:t>
      </w:r>
      <w:proofErr w:type="spellEnd"/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/pro-</w:t>
      </w:r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lastRenderedPageBreak/>
        <w:t>media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.</w:t>
      </w:r>
      <w:r w:rsidRPr="00957DEA">
        <w:rPr>
          <w:rFonts w:ascii="Arial" w:hAnsi="Arial" w:cs="Arial"/>
          <w:i/>
          <w:color w:val="1D1D1B"/>
          <w:w w:val="105"/>
          <w:sz w:val="20"/>
          <w:szCs w:val="20"/>
        </w:rPr>
        <w:t xml:space="preserve"> </w:t>
      </w:r>
    </w:p>
    <w:p w14:paraId="17E3B4F1" w14:textId="6542A070" w:rsidR="00F96EED" w:rsidRDefault="00F96EED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6468001E" w14:textId="77777777" w:rsidR="00F96EED" w:rsidRDefault="00F96EED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27D9DFFF" w14:textId="77777777" w:rsidR="00D21E1C" w:rsidRDefault="00D21E1C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14159423" w14:textId="77777777" w:rsidR="00D21E1C" w:rsidRDefault="00D21E1C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61C7488E" w14:textId="5B8AC61D" w:rsidR="00265810" w:rsidRDefault="00265810" w:rsidP="00265810">
      <w:pPr>
        <w:jc w:val="both"/>
        <w:rPr>
          <w:rFonts w:ascii="Arial" w:eastAsia="Times New Roman" w:hAnsi="Arial" w:cs="Arial"/>
          <w:sz w:val="20"/>
          <w:szCs w:val="20"/>
        </w:rPr>
      </w:pPr>
      <w:r w:rsidRPr="00265810">
        <w:rPr>
          <w:rFonts w:ascii="Arial" w:eastAsia="Times New Roman" w:hAnsi="Arial" w:cs="Arial"/>
          <w:b/>
          <w:sz w:val="20"/>
          <w:szCs w:val="20"/>
        </w:rPr>
        <w:t>Index podílových fondů</w:t>
      </w:r>
      <w:r>
        <w:rPr>
          <w:rFonts w:ascii="Arial" w:eastAsia="Times New Roman" w:hAnsi="Arial" w:cs="Arial"/>
          <w:sz w:val="20"/>
          <w:szCs w:val="20"/>
        </w:rPr>
        <w:t xml:space="preserve"> reprezentuje portfolio převážně českého inves</w:t>
      </w:r>
      <w:r w:rsidR="00E32181">
        <w:rPr>
          <w:rFonts w:ascii="Arial" w:eastAsia="Times New Roman" w:hAnsi="Arial" w:cs="Arial"/>
          <w:sz w:val="20"/>
          <w:szCs w:val="20"/>
        </w:rPr>
        <w:t xml:space="preserve">tora. U akciových fondů </w:t>
      </w:r>
      <w:r w:rsidR="0071058C">
        <w:rPr>
          <w:rFonts w:ascii="Arial" w:eastAsia="Times New Roman" w:hAnsi="Arial" w:cs="Arial"/>
          <w:sz w:val="20"/>
          <w:szCs w:val="20"/>
        </w:rPr>
        <w:t xml:space="preserve">nebere </w:t>
      </w:r>
      <w:r w:rsidR="0071058C" w:rsidRPr="0071058C">
        <w:rPr>
          <w:rFonts w:ascii="Arial" w:eastAsia="Times New Roman" w:hAnsi="Arial" w:cs="Arial"/>
          <w:sz w:val="20"/>
          <w:szCs w:val="20"/>
        </w:rPr>
        <w:t>v potaz úzké regionální či sektorové zaměření</w:t>
      </w:r>
      <w:r w:rsidR="0071058C">
        <w:rPr>
          <w:rFonts w:ascii="Arial" w:eastAsia="Times New Roman" w:hAnsi="Arial" w:cs="Arial"/>
          <w:sz w:val="20"/>
          <w:szCs w:val="20"/>
        </w:rPr>
        <w:t>, ale</w:t>
      </w:r>
      <w:r w:rsidR="00E32181">
        <w:rPr>
          <w:rFonts w:ascii="Arial" w:eastAsia="Times New Roman" w:hAnsi="Arial" w:cs="Arial"/>
          <w:sz w:val="20"/>
          <w:szCs w:val="20"/>
        </w:rPr>
        <w:t xml:space="preserve"> zaměřuje</w:t>
      </w:r>
      <w:r>
        <w:rPr>
          <w:rFonts w:ascii="Arial" w:eastAsia="Times New Roman" w:hAnsi="Arial" w:cs="Arial"/>
          <w:sz w:val="20"/>
          <w:szCs w:val="20"/>
        </w:rPr>
        <w:t xml:space="preserve"> se na globální akciový trh. Složení fondů v akciovém indexu reflektuje portfolio běžného českého investora investujícího do akciových fondů. Podobné je to také u komoditních fondů, kde index reflektuje výkonnost fondů investujících převážně do tradičních komodi</w:t>
      </w:r>
      <w:r w:rsidR="00E32181">
        <w:rPr>
          <w:rFonts w:ascii="Arial" w:eastAsia="Times New Roman" w:hAnsi="Arial" w:cs="Arial"/>
          <w:sz w:val="20"/>
          <w:szCs w:val="20"/>
        </w:rPr>
        <w:t>t. U dluhopisových fondů klade index</w:t>
      </w:r>
      <w:r>
        <w:rPr>
          <w:rFonts w:ascii="Arial" w:eastAsia="Times New Roman" w:hAnsi="Arial" w:cs="Arial"/>
          <w:sz w:val="20"/>
          <w:szCs w:val="20"/>
        </w:rPr>
        <w:t xml:space="preserve"> větší důraz na české a evropské dluhopisové fondy</w:t>
      </w:r>
      <w:r w:rsidR="00E32181">
        <w:rPr>
          <w:rFonts w:ascii="Arial" w:eastAsia="Times New Roman" w:hAnsi="Arial" w:cs="Arial"/>
          <w:sz w:val="20"/>
          <w:szCs w:val="20"/>
        </w:rPr>
        <w:t>, ale ve výkonnosti zohledňuje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E32181">
        <w:rPr>
          <w:rFonts w:ascii="Arial" w:eastAsia="Times New Roman" w:hAnsi="Arial" w:cs="Arial"/>
          <w:sz w:val="20"/>
          <w:szCs w:val="20"/>
        </w:rPr>
        <w:t xml:space="preserve">i dluhopisové fondy investující </w:t>
      </w:r>
      <w:r>
        <w:rPr>
          <w:rFonts w:ascii="Arial" w:eastAsia="Times New Roman" w:hAnsi="Arial" w:cs="Arial"/>
          <w:sz w:val="20"/>
          <w:szCs w:val="20"/>
        </w:rPr>
        <w:t>do státních dluhopisů různých ekonomik a také dluhopisové fondy zaměřující na rizikovější dluhopisy, ale již s menší v</w:t>
      </w:r>
      <w:r w:rsidR="00E32181">
        <w:rPr>
          <w:rFonts w:ascii="Arial" w:eastAsia="Times New Roman" w:hAnsi="Arial" w:cs="Arial"/>
          <w:sz w:val="20"/>
          <w:szCs w:val="20"/>
        </w:rPr>
        <w:t>a</w:t>
      </w:r>
      <w:r>
        <w:rPr>
          <w:rFonts w:ascii="Arial" w:eastAsia="Times New Roman" w:hAnsi="Arial" w:cs="Arial"/>
          <w:sz w:val="20"/>
          <w:szCs w:val="20"/>
        </w:rPr>
        <w:t xml:space="preserve">hou. U peněžních fondů </w:t>
      </w:r>
      <w:r w:rsidR="00E32181">
        <w:rPr>
          <w:rFonts w:ascii="Arial" w:eastAsia="Times New Roman" w:hAnsi="Arial" w:cs="Arial"/>
          <w:sz w:val="20"/>
          <w:szCs w:val="20"/>
        </w:rPr>
        <w:t>a nemovitostních fondů je sledována</w:t>
      </w:r>
      <w:r>
        <w:rPr>
          <w:rFonts w:ascii="Arial" w:eastAsia="Times New Roman" w:hAnsi="Arial" w:cs="Arial"/>
          <w:sz w:val="20"/>
          <w:szCs w:val="20"/>
        </w:rPr>
        <w:t xml:space="preserve"> pouze výkonnost českých podílových fondů.</w:t>
      </w:r>
    </w:p>
    <w:p w14:paraId="7CEC62BD" w14:textId="5F5C84A3" w:rsidR="00265810" w:rsidRDefault="00265810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64BF3F06" w14:textId="03BCCC0B" w:rsidR="003805E6" w:rsidRPr="00957DEA" w:rsidRDefault="003805E6" w:rsidP="00A12A99">
      <w:pPr>
        <w:jc w:val="both"/>
        <w:rPr>
          <w:rFonts w:ascii="Arial" w:hAnsi="Arial" w:cs="Arial"/>
          <w:sz w:val="20"/>
          <w:szCs w:val="20"/>
        </w:rPr>
      </w:pPr>
      <w:r w:rsidRPr="00957DEA">
        <w:rPr>
          <w:rFonts w:ascii="Arial" w:hAnsi="Arial" w:cs="Arial"/>
          <w:b/>
          <w:sz w:val="20"/>
          <w:szCs w:val="20"/>
        </w:rPr>
        <w:t xml:space="preserve">Proč je dobré index sledovat: </w:t>
      </w:r>
      <w:r w:rsidRPr="00957DEA">
        <w:rPr>
          <w:rFonts w:ascii="Arial" w:hAnsi="Arial" w:cs="Arial"/>
          <w:sz w:val="20"/>
          <w:szCs w:val="20"/>
        </w:rPr>
        <w:t xml:space="preserve">Čeští investoři mají v podílových fondech zainvestován majetek ve výši zhruba 557 miliard korun. Fondy jsou velmi využívanou platformou pro dlouhodobé investování, zejména při vytváření rezerv pro období </w:t>
      </w:r>
      <w:proofErr w:type="spellStart"/>
      <w:r w:rsidRPr="00957DEA">
        <w:rPr>
          <w:rFonts w:ascii="Arial" w:hAnsi="Arial" w:cs="Arial"/>
          <w:sz w:val="20"/>
          <w:szCs w:val="20"/>
        </w:rPr>
        <w:t>postaktivního</w:t>
      </w:r>
      <w:proofErr w:type="spellEnd"/>
      <w:r w:rsidRPr="00957DEA">
        <w:rPr>
          <w:rFonts w:ascii="Arial" w:hAnsi="Arial" w:cs="Arial"/>
          <w:sz w:val="20"/>
          <w:szCs w:val="20"/>
        </w:rPr>
        <w:t xml:space="preserve"> věku (60+). Index ukazuje, jak se vede fondům dle jednotlivých tříd investičních aktiv. Investoři si mohou mimo jiné srovnávat,  jak si jimi vybrané fondy vedou v porovnání s průměrem trhu.</w:t>
      </w:r>
    </w:p>
    <w:p w14:paraId="3C780D18" w14:textId="5825F29D" w:rsidR="00D60D98" w:rsidRDefault="00D60D98" w:rsidP="00A12A99">
      <w:pPr>
        <w:jc w:val="both"/>
        <w:rPr>
          <w:sz w:val="20"/>
        </w:rPr>
      </w:pPr>
    </w:p>
    <w:p w14:paraId="42D95A89" w14:textId="77777777" w:rsidR="00D60D98" w:rsidRDefault="00D60D98" w:rsidP="00A12A99">
      <w:pPr>
        <w:jc w:val="both"/>
        <w:rPr>
          <w:sz w:val="20"/>
        </w:rPr>
      </w:pPr>
    </w:p>
    <w:p w14:paraId="30A655D4" w14:textId="253E2C1A" w:rsidR="00D60D98" w:rsidRDefault="00D60D98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5D2E985E" w14:textId="77777777" w:rsidR="00957DEA" w:rsidRPr="00D60D98" w:rsidRDefault="00957DEA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7C1907C0" w14:textId="77777777" w:rsidR="00D60D98" w:rsidRDefault="00D60D98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  <w:r w:rsidRPr="00D60D98">
        <w:rPr>
          <w:rFonts w:ascii="Arial" w:eastAsia="Calibri" w:hAnsi="Arial" w:cs="Arial"/>
          <w:b/>
          <w:bCs/>
          <w:noProof/>
          <w:sz w:val="20"/>
          <w:szCs w:val="20"/>
        </w:rPr>
        <w:t>Kontakt pro média:</w:t>
      </w:r>
    </w:p>
    <w:p w14:paraId="259AB6B0" w14:textId="6E4F87C8" w:rsidR="00D60D98" w:rsidRPr="00957DEA" w:rsidRDefault="00D60D98" w:rsidP="00A12A99">
      <w:pPr>
        <w:jc w:val="both"/>
        <w:rPr>
          <w:rFonts w:ascii="Arial" w:eastAsia="Calibri" w:hAnsi="Arial" w:cs="Arial"/>
          <w:bCs/>
          <w:noProof/>
          <w:sz w:val="20"/>
          <w:szCs w:val="20"/>
          <w:lang w:bidi="ar-SA"/>
        </w:rPr>
      </w:pPr>
      <w:r w:rsidRPr="00957DEA">
        <w:rPr>
          <w:sz w:val="20"/>
        </w:rPr>
        <w:br/>
      </w:r>
      <w:r w:rsidRPr="00957DEA">
        <w:rPr>
          <w:rFonts w:ascii="Arial" w:eastAsia="Calibri" w:hAnsi="Arial" w:cs="Arial"/>
          <w:bCs/>
          <w:noProof/>
          <w:sz w:val="20"/>
          <w:szCs w:val="20"/>
        </w:rPr>
        <w:t>Tereza Kunová</w:t>
      </w:r>
    </w:p>
    <w:p w14:paraId="7866AA4E" w14:textId="77777777" w:rsidR="00E32181" w:rsidRDefault="00D60D98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 w:rsidRPr="00957DEA">
        <w:rPr>
          <w:rFonts w:ascii="Arial" w:eastAsia="Calibri" w:hAnsi="Arial" w:cs="Arial"/>
          <w:noProof/>
          <w:sz w:val="20"/>
          <w:szCs w:val="20"/>
        </w:rPr>
        <w:t xml:space="preserve">Specialistka PR a </w:t>
      </w:r>
      <w:r w:rsidRPr="00E32181">
        <w:rPr>
          <w:rFonts w:ascii="Arial" w:eastAsia="Calibri" w:hAnsi="Arial" w:cs="Arial"/>
          <w:bCs/>
          <w:noProof/>
          <w:sz w:val="20"/>
          <w:szCs w:val="20"/>
        </w:rPr>
        <w:t>externí komunikace</w:t>
      </w:r>
    </w:p>
    <w:p w14:paraId="55796197" w14:textId="55A61B97" w:rsidR="00E32181" w:rsidRDefault="008D397B" w:rsidP="00E32181">
      <w:pPr>
        <w:pStyle w:val="Bezmezer"/>
        <w:rPr>
          <w:rFonts w:ascii="Arial" w:eastAsia="Calibri" w:hAnsi="Arial" w:cs="Arial"/>
          <w:noProof/>
          <w:sz w:val="20"/>
          <w:szCs w:val="20"/>
        </w:rPr>
      </w:pPr>
      <w:r w:rsidRPr="00E32181">
        <w:rPr>
          <w:rFonts w:ascii="Arial" w:eastAsia="Calibri" w:hAnsi="Arial" w:cs="Arial"/>
          <w:bCs/>
          <w:noProof/>
          <w:sz w:val="20"/>
          <w:szCs w:val="20"/>
        </w:rPr>
        <w:t>Mobil: +420</w:t>
      </w:r>
      <w:r w:rsidRPr="00E32181">
        <w:rPr>
          <w:rFonts w:ascii="Arial" w:eastAsia="Calibri" w:hAnsi="Arial" w:cs="Arial"/>
          <w:noProof/>
          <w:sz w:val="20"/>
          <w:szCs w:val="20"/>
        </w:rPr>
        <w:t> 731 537</w:t>
      </w:r>
      <w:r w:rsidR="00E32181">
        <w:rPr>
          <w:rFonts w:ascii="Arial" w:eastAsia="Calibri" w:hAnsi="Arial" w:cs="Arial"/>
          <w:noProof/>
          <w:sz w:val="20"/>
          <w:szCs w:val="20"/>
        </w:rPr>
        <w:t> </w:t>
      </w:r>
      <w:r w:rsidRPr="00E32181">
        <w:rPr>
          <w:rFonts w:ascii="Arial" w:eastAsia="Calibri" w:hAnsi="Arial" w:cs="Arial"/>
          <w:noProof/>
          <w:sz w:val="20"/>
          <w:szCs w:val="20"/>
        </w:rPr>
        <w:t>716</w:t>
      </w:r>
    </w:p>
    <w:p w14:paraId="7F1C61B2" w14:textId="3B58B736" w:rsidR="008D397B" w:rsidRPr="00E32181" w:rsidRDefault="008D397B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 w:rsidRPr="00E32181">
        <w:rPr>
          <w:rFonts w:ascii="Arial" w:eastAsia="Calibri" w:hAnsi="Arial" w:cs="Arial"/>
          <w:noProof/>
          <w:sz w:val="20"/>
          <w:szCs w:val="20"/>
        </w:rPr>
        <w:t xml:space="preserve">E-mail: </w:t>
      </w:r>
      <w:hyperlink r:id="rId25" w:history="1">
        <w:r w:rsidRPr="00E32181">
          <w:rPr>
            <w:rStyle w:val="Hypertextovodkaz"/>
            <w:rFonts w:ascii="Arial" w:eastAsia="Calibri" w:hAnsi="Arial" w:cs="Arial"/>
            <w:noProof/>
            <w:sz w:val="20"/>
            <w:szCs w:val="20"/>
          </w:rPr>
          <w:t>tereza.kunova@bcas.cz</w:t>
        </w:r>
      </w:hyperlink>
      <w:r w:rsidRPr="00E32181">
        <w:rPr>
          <w:rFonts w:ascii="Arial" w:eastAsia="Calibri" w:hAnsi="Arial" w:cs="Arial"/>
          <w:noProof/>
          <w:sz w:val="20"/>
          <w:szCs w:val="20"/>
        </w:rPr>
        <w:t xml:space="preserve"> </w:t>
      </w:r>
    </w:p>
    <w:p w14:paraId="025F1B2F" w14:textId="5313D60C" w:rsidR="00D60D98" w:rsidRPr="009F59EE" w:rsidRDefault="00D60D98" w:rsidP="00A12A99">
      <w:pPr>
        <w:jc w:val="both"/>
        <w:rPr>
          <w:sz w:val="20"/>
        </w:rPr>
      </w:pPr>
    </w:p>
    <w:sectPr w:rsidR="00D60D98" w:rsidRPr="009F59EE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64B20D" w14:textId="77777777" w:rsidR="00846F99" w:rsidRDefault="00846F99">
      <w:r>
        <w:separator/>
      </w:r>
    </w:p>
  </w:endnote>
  <w:endnote w:type="continuationSeparator" w:id="0">
    <w:p w14:paraId="7EEB7F03" w14:textId="77777777" w:rsidR="00846F99" w:rsidRDefault="00846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846F99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633E13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846F99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633E13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846F99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633E13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A6358A" w14:textId="77777777" w:rsidR="00846F99" w:rsidRDefault="00846F99">
      <w:r>
        <w:separator/>
      </w:r>
    </w:p>
  </w:footnote>
  <w:footnote w:type="continuationSeparator" w:id="0">
    <w:p w14:paraId="74CF4664" w14:textId="77777777" w:rsidR="00846F99" w:rsidRDefault="00846F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E95698" w:rsidRDefault="00D80B6D" w:rsidP="00E95698">
    <w:pPr>
      <w:tabs>
        <w:tab w:val="left" w:pos="8633"/>
      </w:tabs>
      <w:spacing w:before="80"/>
      <w:ind w:firstLine="2880"/>
      <w:rPr>
        <w:rFonts w:ascii="Arial" w:hAnsi="Arial" w:cs="Arial"/>
        <w:sz w:val="52"/>
      </w:rPr>
    </w:pPr>
    <w:r w:rsidRPr="00E95698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E95698">
      <w:rPr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95698">
      <w:rPr>
        <w:rFonts w:ascii="Arial" w:hAnsi="Arial" w:cs="Arial"/>
        <w:color w:val="1D1D1B"/>
        <w:sz w:val="48"/>
      </w:rPr>
      <w:t xml:space="preserve">BROKER CONSULTING </w:t>
    </w:r>
    <w:r w:rsidRPr="00E95698">
      <w:rPr>
        <w:rFonts w:ascii="Arial" w:hAnsi="Arial" w:cs="Arial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77777777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2AE1FBD7" w14:textId="2E566C8F" w:rsidR="00B65A3B" w:rsidRPr="00B65A3B" w:rsidRDefault="009F2CEE" w:rsidP="009F2CEE">
    <w:pPr>
      <w:spacing w:before="85"/>
      <w:ind w:left="1440" w:firstLine="720"/>
      <w:rPr>
        <w:rFonts w:ascii="Arial" w:hAnsi="Arial" w:cs="Arial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PODÍLOVÝCH FONDŮ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B65A3B" w:rsidRDefault="009F59EE" w:rsidP="009F59EE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07739BB1" w14:textId="6D5E6F51" w:rsidR="00D80B6D" w:rsidRPr="009F59EE" w:rsidRDefault="009F59EE" w:rsidP="009F59EE">
    <w:pPr>
      <w:spacing w:before="85"/>
      <w:ind w:left="1440" w:firstLine="720"/>
      <w:rPr>
        <w:rFonts w:ascii="Arial" w:hAnsi="Arial" w:cs="Arial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 w:rsidR="009F2CEE">
      <w:rPr>
        <w:rFonts w:ascii="Arial" w:hAnsi="Arial" w:cs="Arial"/>
        <w:color w:val="E52713"/>
        <w:sz w:val="28"/>
        <w:szCs w:val="28"/>
      </w:rPr>
      <w:t>PODÍLOVÝCH FONDŮ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1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20EC7"/>
    <w:rsid w:val="00026F23"/>
    <w:rsid w:val="000277AC"/>
    <w:rsid w:val="0003028F"/>
    <w:rsid w:val="00032D62"/>
    <w:rsid w:val="00032D94"/>
    <w:rsid w:val="000374D7"/>
    <w:rsid w:val="00037DAF"/>
    <w:rsid w:val="000400E4"/>
    <w:rsid w:val="0005423A"/>
    <w:rsid w:val="000611E3"/>
    <w:rsid w:val="000766E7"/>
    <w:rsid w:val="00081616"/>
    <w:rsid w:val="000853D4"/>
    <w:rsid w:val="0009776B"/>
    <w:rsid w:val="000B060E"/>
    <w:rsid w:val="000D14E2"/>
    <w:rsid w:val="000E3D86"/>
    <w:rsid w:val="000F5AB4"/>
    <w:rsid w:val="000F6249"/>
    <w:rsid w:val="001068FC"/>
    <w:rsid w:val="001103A6"/>
    <w:rsid w:val="00111C28"/>
    <w:rsid w:val="001152A6"/>
    <w:rsid w:val="00117FB4"/>
    <w:rsid w:val="00122CD1"/>
    <w:rsid w:val="001253CC"/>
    <w:rsid w:val="0013044E"/>
    <w:rsid w:val="00131A69"/>
    <w:rsid w:val="00136D8D"/>
    <w:rsid w:val="00137003"/>
    <w:rsid w:val="0013717C"/>
    <w:rsid w:val="00145B8B"/>
    <w:rsid w:val="00156082"/>
    <w:rsid w:val="001675AF"/>
    <w:rsid w:val="0017084B"/>
    <w:rsid w:val="001767A5"/>
    <w:rsid w:val="00192716"/>
    <w:rsid w:val="0019453C"/>
    <w:rsid w:val="001A54DD"/>
    <w:rsid w:val="001B501B"/>
    <w:rsid w:val="001D015A"/>
    <w:rsid w:val="001D3DFC"/>
    <w:rsid w:val="001E4209"/>
    <w:rsid w:val="001F7194"/>
    <w:rsid w:val="001F71BA"/>
    <w:rsid w:val="002141AF"/>
    <w:rsid w:val="002368F3"/>
    <w:rsid w:val="00241313"/>
    <w:rsid w:val="0025264B"/>
    <w:rsid w:val="0025428A"/>
    <w:rsid w:val="00265810"/>
    <w:rsid w:val="0026621E"/>
    <w:rsid w:val="00270DB3"/>
    <w:rsid w:val="00276C57"/>
    <w:rsid w:val="002A5439"/>
    <w:rsid w:val="002B43B8"/>
    <w:rsid w:val="002C35D8"/>
    <w:rsid w:val="002D539D"/>
    <w:rsid w:val="002D7A2E"/>
    <w:rsid w:val="002F002B"/>
    <w:rsid w:val="002F3074"/>
    <w:rsid w:val="002F485A"/>
    <w:rsid w:val="002F7EC2"/>
    <w:rsid w:val="00307E95"/>
    <w:rsid w:val="003128F8"/>
    <w:rsid w:val="003247B0"/>
    <w:rsid w:val="00330918"/>
    <w:rsid w:val="003326F9"/>
    <w:rsid w:val="00334048"/>
    <w:rsid w:val="00342F85"/>
    <w:rsid w:val="00347557"/>
    <w:rsid w:val="00347D68"/>
    <w:rsid w:val="00352515"/>
    <w:rsid w:val="00355366"/>
    <w:rsid w:val="003606E0"/>
    <w:rsid w:val="003629B6"/>
    <w:rsid w:val="003721AD"/>
    <w:rsid w:val="003805E6"/>
    <w:rsid w:val="00383DC5"/>
    <w:rsid w:val="00385EED"/>
    <w:rsid w:val="00390B58"/>
    <w:rsid w:val="003A4F52"/>
    <w:rsid w:val="003A6435"/>
    <w:rsid w:val="003B0E4F"/>
    <w:rsid w:val="003C0CBE"/>
    <w:rsid w:val="003D10B1"/>
    <w:rsid w:val="003D1987"/>
    <w:rsid w:val="003E7356"/>
    <w:rsid w:val="003F79EC"/>
    <w:rsid w:val="00403571"/>
    <w:rsid w:val="00421847"/>
    <w:rsid w:val="0042193A"/>
    <w:rsid w:val="00421BEC"/>
    <w:rsid w:val="00445D0A"/>
    <w:rsid w:val="00454843"/>
    <w:rsid w:val="004627B9"/>
    <w:rsid w:val="004766EC"/>
    <w:rsid w:val="00497374"/>
    <w:rsid w:val="004B5797"/>
    <w:rsid w:val="004C3F71"/>
    <w:rsid w:val="004C7DDE"/>
    <w:rsid w:val="004E7AEB"/>
    <w:rsid w:val="004E7E0B"/>
    <w:rsid w:val="0050659B"/>
    <w:rsid w:val="00512B46"/>
    <w:rsid w:val="005153F7"/>
    <w:rsid w:val="005218FE"/>
    <w:rsid w:val="005224C1"/>
    <w:rsid w:val="0053153F"/>
    <w:rsid w:val="00536954"/>
    <w:rsid w:val="00540606"/>
    <w:rsid w:val="00541870"/>
    <w:rsid w:val="005436EC"/>
    <w:rsid w:val="00544A37"/>
    <w:rsid w:val="0055263D"/>
    <w:rsid w:val="005663AE"/>
    <w:rsid w:val="00576F53"/>
    <w:rsid w:val="00577D19"/>
    <w:rsid w:val="005A3473"/>
    <w:rsid w:val="005A37E5"/>
    <w:rsid w:val="005A481B"/>
    <w:rsid w:val="005A5BBA"/>
    <w:rsid w:val="005A5F08"/>
    <w:rsid w:val="005B31D7"/>
    <w:rsid w:val="005E51C5"/>
    <w:rsid w:val="005E7952"/>
    <w:rsid w:val="005F0E46"/>
    <w:rsid w:val="005F7090"/>
    <w:rsid w:val="00603538"/>
    <w:rsid w:val="0061253F"/>
    <w:rsid w:val="006135FD"/>
    <w:rsid w:val="0062480B"/>
    <w:rsid w:val="0062747C"/>
    <w:rsid w:val="006307A5"/>
    <w:rsid w:val="00630C84"/>
    <w:rsid w:val="00631E38"/>
    <w:rsid w:val="00631E80"/>
    <w:rsid w:val="00633E13"/>
    <w:rsid w:val="00637BCA"/>
    <w:rsid w:val="0064160C"/>
    <w:rsid w:val="0065659A"/>
    <w:rsid w:val="0066135D"/>
    <w:rsid w:val="00667012"/>
    <w:rsid w:val="00670237"/>
    <w:rsid w:val="006768F0"/>
    <w:rsid w:val="00677078"/>
    <w:rsid w:val="0068195B"/>
    <w:rsid w:val="00683626"/>
    <w:rsid w:val="0068617E"/>
    <w:rsid w:val="00686364"/>
    <w:rsid w:val="006939E4"/>
    <w:rsid w:val="006A2F6C"/>
    <w:rsid w:val="006A3BE2"/>
    <w:rsid w:val="006C61E8"/>
    <w:rsid w:val="006D65EC"/>
    <w:rsid w:val="006E26DC"/>
    <w:rsid w:val="006F052D"/>
    <w:rsid w:val="006F32FB"/>
    <w:rsid w:val="00705D83"/>
    <w:rsid w:val="0071058C"/>
    <w:rsid w:val="0072112F"/>
    <w:rsid w:val="0073328E"/>
    <w:rsid w:val="0073706E"/>
    <w:rsid w:val="007373A6"/>
    <w:rsid w:val="0073790D"/>
    <w:rsid w:val="00757D8B"/>
    <w:rsid w:val="00761D9B"/>
    <w:rsid w:val="00771B91"/>
    <w:rsid w:val="00771DFE"/>
    <w:rsid w:val="007824F4"/>
    <w:rsid w:val="00784109"/>
    <w:rsid w:val="00785FC5"/>
    <w:rsid w:val="0078631B"/>
    <w:rsid w:val="00786BA5"/>
    <w:rsid w:val="00791A2B"/>
    <w:rsid w:val="00792EE9"/>
    <w:rsid w:val="0079572A"/>
    <w:rsid w:val="007A1121"/>
    <w:rsid w:val="007A1122"/>
    <w:rsid w:val="007A15A6"/>
    <w:rsid w:val="007A5987"/>
    <w:rsid w:val="007B232E"/>
    <w:rsid w:val="007B358E"/>
    <w:rsid w:val="007D29E5"/>
    <w:rsid w:val="007E1FBA"/>
    <w:rsid w:val="007E5614"/>
    <w:rsid w:val="008005EB"/>
    <w:rsid w:val="00807CDD"/>
    <w:rsid w:val="00812E77"/>
    <w:rsid w:val="0081387C"/>
    <w:rsid w:val="0081466F"/>
    <w:rsid w:val="00821B36"/>
    <w:rsid w:val="0083053E"/>
    <w:rsid w:val="00831B5E"/>
    <w:rsid w:val="00833A44"/>
    <w:rsid w:val="0084178F"/>
    <w:rsid w:val="00845A34"/>
    <w:rsid w:val="00846F99"/>
    <w:rsid w:val="00851C45"/>
    <w:rsid w:val="00870F82"/>
    <w:rsid w:val="00883A3E"/>
    <w:rsid w:val="00885B2F"/>
    <w:rsid w:val="00890117"/>
    <w:rsid w:val="008926E5"/>
    <w:rsid w:val="008926F3"/>
    <w:rsid w:val="00893577"/>
    <w:rsid w:val="008A04D3"/>
    <w:rsid w:val="008C1795"/>
    <w:rsid w:val="008C4B0D"/>
    <w:rsid w:val="008C6335"/>
    <w:rsid w:val="008D397B"/>
    <w:rsid w:val="008E19F3"/>
    <w:rsid w:val="008F6AAF"/>
    <w:rsid w:val="00906176"/>
    <w:rsid w:val="00906E67"/>
    <w:rsid w:val="00915ADA"/>
    <w:rsid w:val="009222C9"/>
    <w:rsid w:val="00932625"/>
    <w:rsid w:val="009344C2"/>
    <w:rsid w:val="00935552"/>
    <w:rsid w:val="00941B52"/>
    <w:rsid w:val="0094705C"/>
    <w:rsid w:val="00957B41"/>
    <w:rsid w:val="00957DEA"/>
    <w:rsid w:val="00982987"/>
    <w:rsid w:val="009A69B1"/>
    <w:rsid w:val="009C0ECA"/>
    <w:rsid w:val="009C0F81"/>
    <w:rsid w:val="009C45BA"/>
    <w:rsid w:val="009D05AD"/>
    <w:rsid w:val="009D2ECE"/>
    <w:rsid w:val="009D68F9"/>
    <w:rsid w:val="009E317D"/>
    <w:rsid w:val="009E3B52"/>
    <w:rsid w:val="009F2CB2"/>
    <w:rsid w:val="009F2CEE"/>
    <w:rsid w:val="009F59EE"/>
    <w:rsid w:val="009F5B6E"/>
    <w:rsid w:val="00A069E2"/>
    <w:rsid w:val="00A11C0F"/>
    <w:rsid w:val="00A11C90"/>
    <w:rsid w:val="00A12A99"/>
    <w:rsid w:val="00A36D79"/>
    <w:rsid w:val="00A4618A"/>
    <w:rsid w:val="00A77932"/>
    <w:rsid w:val="00A7796E"/>
    <w:rsid w:val="00A80480"/>
    <w:rsid w:val="00A82DA1"/>
    <w:rsid w:val="00AA1259"/>
    <w:rsid w:val="00AA218A"/>
    <w:rsid w:val="00AC614D"/>
    <w:rsid w:val="00AE548F"/>
    <w:rsid w:val="00B058E3"/>
    <w:rsid w:val="00B0678D"/>
    <w:rsid w:val="00B11974"/>
    <w:rsid w:val="00B12CF8"/>
    <w:rsid w:val="00B15519"/>
    <w:rsid w:val="00B244B9"/>
    <w:rsid w:val="00B27178"/>
    <w:rsid w:val="00B41CE5"/>
    <w:rsid w:val="00B42E81"/>
    <w:rsid w:val="00B43ABC"/>
    <w:rsid w:val="00B51125"/>
    <w:rsid w:val="00B52CDF"/>
    <w:rsid w:val="00B65A3B"/>
    <w:rsid w:val="00B731F5"/>
    <w:rsid w:val="00B75627"/>
    <w:rsid w:val="00B80A35"/>
    <w:rsid w:val="00B87498"/>
    <w:rsid w:val="00B90112"/>
    <w:rsid w:val="00B90487"/>
    <w:rsid w:val="00B927D5"/>
    <w:rsid w:val="00B95BB2"/>
    <w:rsid w:val="00B95EBA"/>
    <w:rsid w:val="00BA1FA3"/>
    <w:rsid w:val="00BA23D8"/>
    <w:rsid w:val="00BA7889"/>
    <w:rsid w:val="00BB3F93"/>
    <w:rsid w:val="00BB4D49"/>
    <w:rsid w:val="00BB6439"/>
    <w:rsid w:val="00BB675F"/>
    <w:rsid w:val="00BD17B0"/>
    <w:rsid w:val="00BD5A47"/>
    <w:rsid w:val="00BF4A15"/>
    <w:rsid w:val="00BF7A45"/>
    <w:rsid w:val="00C23E32"/>
    <w:rsid w:val="00C31207"/>
    <w:rsid w:val="00C42FAF"/>
    <w:rsid w:val="00C54507"/>
    <w:rsid w:val="00C57D56"/>
    <w:rsid w:val="00C60B08"/>
    <w:rsid w:val="00C864DC"/>
    <w:rsid w:val="00C878E5"/>
    <w:rsid w:val="00CA1722"/>
    <w:rsid w:val="00CA4711"/>
    <w:rsid w:val="00CB18B1"/>
    <w:rsid w:val="00CB2780"/>
    <w:rsid w:val="00CB38CA"/>
    <w:rsid w:val="00CB6F2B"/>
    <w:rsid w:val="00CC1067"/>
    <w:rsid w:val="00CC580E"/>
    <w:rsid w:val="00CC5BA3"/>
    <w:rsid w:val="00CC727D"/>
    <w:rsid w:val="00CD3324"/>
    <w:rsid w:val="00CE6C6E"/>
    <w:rsid w:val="00D01832"/>
    <w:rsid w:val="00D118CC"/>
    <w:rsid w:val="00D21C96"/>
    <w:rsid w:val="00D21E1C"/>
    <w:rsid w:val="00D30854"/>
    <w:rsid w:val="00D31127"/>
    <w:rsid w:val="00D50703"/>
    <w:rsid w:val="00D60D98"/>
    <w:rsid w:val="00D76C6E"/>
    <w:rsid w:val="00D80B6D"/>
    <w:rsid w:val="00D8513A"/>
    <w:rsid w:val="00D85BBB"/>
    <w:rsid w:val="00D94CEA"/>
    <w:rsid w:val="00D9690A"/>
    <w:rsid w:val="00DA13A4"/>
    <w:rsid w:val="00DA7B87"/>
    <w:rsid w:val="00DB63D9"/>
    <w:rsid w:val="00DB7E77"/>
    <w:rsid w:val="00DC30D0"/>
    <w:rsid w:val="00DC3F71"/>
    <w:rsid w:val="00DD4BDD"/>
    <w:rsid w:val="00DE5847"/>
    <w:rsid w:val="00E00DC6"/>
    <w:rsid w:val="00E058A3"/>
    <w:rsid w:val="00E151F3"/>
    <w:rsid w:val="00E15A82"/>
    <w:rsid w:val="00E17539"/>
    <w:rsid w:val="00E32181"/>
    <w:rsid w:val="00E57F9B"/>
    <w:rsid w:val="00E6319B"/>
    <w:rsid w:val="00E64D70"/>
    <w:rsid w:val="00E6726D"/>
    <w:rsid w:val="00E67581"/>
    <w:rsid w:val="00E81433"/>
    <w:rsid w:val="00E81C95"/>
    <w:rsid w:val="00E852A3"/>
    <w:rsid w:val="00E909E2"/>
    <w:rsid w:val="00E92A9E"/>
    <w:rsid w:val="00EA0C1C"/>
    <w:rsid w:val="00EA477A"/>
    <w:rsid w:val="00EC73D3"/>
    <w:rsid w:val="00EC7F0E"/>
    <w:rsid w:val="00ED2D1F"/>
    <w:rsid w:val="00ED58E9"/>
    <w:rsid w:val="00ED79D6"/>
    <w:rsid w:val="00EE1831"/>
    <w:rsid w:val="00EF2F7C"/>
    <w:rsid w:val="00F00576"/>
    <w:rsid w:val="00F1156B"/>
    <w:rsid w:val="00F14982"/>
    <w:rsid w:val="00F17CF8"/>
    <w:rsid w:val="00F225DC"/>
    <w:rsid w:val="00F23006"/>
    <w:rsid w:val="00F2598D"/>
    <w:rsid w:val="00F336A2"/>
    <w:rsid w:val="00F44AEB"/>
    <w:rsid w:val="00F45620"/>
    <w:rsid w:val="00F5470D"/>
    <w:rsid w:val="00F63CCA"/>
    <w:rsid w:val="00F852D9"/>
    <w:rsid w:val="00F87177"/>
    <w:rsid w:val="00F9173C"/>
    <w:rsid w:val="00F96EED"/>
    <w:rsid w:val="00FB18D0"/>
    <w:rsid w:val="00FB2ED6"/>
    <w:rsid w:val="00FC2522"/>
    <w:rsid w:val="00FC31B6"/>
    <w:rsid w:val="00FC5B56"/>
    <w:rsid w:val="00FD4B12"/>
    <w:rsid w:val="00FD7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hyperlink" Target="mailto:tereza.kunova@bcas.cz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DD3C5F-DAEC-4250-9A13-3111A8BA0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3</Pages>
  <Words>1082</Words>
  <Characters>6388</Characters>
  <Application>Microsoft Office Word</Application>
  <DocSecurity>0</DocSecurity>
  <Lines>53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Tereza Kunová</cp:lastModifiedBy>
  <cp:revision>8</cp:revision>
  <dcterms:created xsi:type="dcterms:W3CDTF">2021-06-03T07:43:00Z</dcterms:created>
  <dcterms:modified xsi:type="dcterms:W3CDTF">2021-07-13T08:02:00Z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