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4DBE9" w14:textId="6E0639B0" w:rsidR="00677C07" w:rsidRDefault="00677C07">
      <w:pPr>
        <w:rPr>
          <w:highlight w:val="yellow"/>
        </w:rPr>
      </w:pPr>
    </w:p>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121A6802"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2A1185">
            <w:rPr>
              <w:rFonts w:ascii="Arial" w:hAnsi="Arial" w:cs="Arial"/>
              <w:b/>
              <w:color w:val="1D1D1B"/>
              <w:sz w:val="24"/>
            </w:rPr>
            <w:t>INDEX HYPOTEČNÍCH ÚVĚRŮ</w:t>
          </w:r>
          <w:r w:rsidRPr="004B5797">
            <w:rPr>
              <w:rFonts w:ascii="Arial" w:hAnsi="Arial" w:cs="Arial"/>
              <w:color w:val="1D1D1B"/>
              <w:sz w:val="24"/>
            </w:rPr>
            <w:t xml:space="preserve">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15233C16" w14:textId="77777777" w:rsidR="00D80B6D" w:rsidRPr="004B5797" w:rsidRDefault="00D80B6D" w:rsidP="00D80B6D">
          <w:pPr>
            <w:spacing w:before="230"/>
            <w:ind w:left="165"/>
            <w:jc w:val="center"/>
            <w:rPr>
              <w:rFonts w:ascii="Arial" w:hAnsi="Arial" w:cs="Arial"/>
              <w:color w:val="CD1719"/>
              <w:sz w:val="24"/>
            </w:rPr>
          </w:pPr>
          <w:r w:rsidRPr="002A1185">
            <w:rPr>
              <w:rFonts w:ascii="Arial" w:hAnsi="Arial" w:cs="Arial"/>
              <w:color w:val="1D1D1B"/>
              <w:sz w:val="24"/>
            </w:rPr>
            <w:t>INDEX PODÍLOVÝCH FONDŮ</w:t>
          </w:r>
          <w:r w:rsidRPr="004B5797">
            <w:rPr>
              <w:rFonts w:ascii="Arial" w:hAnsi="Arial" w:cs="Arial"/>
              <w:color w:val="1D1D1B"/>
              <w:sz w:val="24"/>
            </w:rPr>
            <w:t xml:space="preserve"> </w:t>
          </w:r>
          <w:r w:rsidRPr="004B5797">
            <w:rPr>
              <w:rFonts w:ascii="Arial" w:hAnsi="Arial" w:cs="Arial"/>
              <w:color w:val="CD1719"/>
              <w:sz w:val="24"/>
            </w:rPr>
            <w:t>|</w:t>
          </w:r>
          <w:r w:rsidRPr="004B5797">
            <w:rPr>
              <w:rFonts w:ascii="Arial" w:hAnsi="Arial" w:cs="Arial"/>
              <w:color w:val="1D1D1B"/>
              <w:sz w:val="24"/>
            </w:rPr>
            <w:t xml:space="preserve"> INDEX TYPICKÉHO INVESTORA </w:t>
          </w:r>
        </w:p>
        <w:p w14:paraId="03C4DE47" w14:textId="77777777" w:rsidR="0009776B"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INDEX VOLNÝCH PENĚZ DOMÁCNOSTÍ </w:t>
          </w:r>
        </w:p>
        <w:p w14:paraId="32900BCE" w14:textId="77777777" w:rsidR="00D80B6D"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POV INDEX </w:t>
          </w:r>
        </w:p>
        <w:p w14:paraId="5B21B8A6" w14:textId="77777777" w:rsidR="00D80B6D" w:rsidRPr="009F2CEE" w:rsidRDefault="00D80B6D" w:rsidP="00D80B6D">
          <w:pPr>
            <w:spacing w:before="230"/>
            <w:ind w:left="165"/>
            <w:jc w:val="center"/>
            <w:rPr>
              <w:rFonts w:ascii="Arial" w:hAnsi="Arial" w:cs="Arial"/>
              <w:color w:val="CD1719"/>
              <w:sz w:val="24"/>
            </w:rPr>
          </w:pPr>
          <w:r w:rsidRPr="009F2CEE">
            <w:rPr>
              <w:rFonts w:ascii="Arial" w:hAnsi="Arial" w:cs="Arial"/>
              <w:color w:val="1D1D1B"/>
              <w:sz w:val="24"/>
            </w:rPr>
            <w:t xml:space="preserve">INDEX SPOTŘEBITELSKÝCH ÚVĚRŮ </w:t>
          </w:r>
          <w:r w:rsidRPr="009F2CEE">
            <w:rPr>
              <w:rFonts w:ascii="Arial" w:hAnsi="Arial" w:cs="Arial"/>
              <w:color w:val="CD1719"/>
              <w:sz w:val="24"/>
            </w:rPr>
            <w:t xml:space="preserve"> </w:t>
          </w:r>
        </w:p>
        <w:p w14:paraId="37B597D7" w14:textId="77777777" w:rsidR="00032D94" w:rsidRPr="004B5797" w:rsidRDefault="00D80B6D" w:rsidP="00D80B6D">
          <w:pPr>
            <w:spacing w:before="240" w:line="288" w:lineRule="exact"/>
            <w:ind w:left="162"/>
            <w:jc w:val="center"/>
            <w:rPr>
              <w:rFonts w:ascii="Arial" w:hAnsi="Arial" w:cs="Arial"/>
              <w:color w:val="1D1D1B"/>
              <w:sz w:val="24"/>
            </w:rPr>
          </w:pPr>
          <w:r w:rsidRPr="004B5797">
            <w:rPr>
              <w:rFonts w:ascii="Arial" w:hAnsi="Arial" w:cs="Arial"/>
              <w:color w:val="1D1D1B"/>
              <w:sz w:val="24"/>
            </w:rPr>
            <w:t xml:space="preserve">INDEX FINANČNÍ GRAMOTNOSTI </w:t>
          </w:r>
        </w:p>
        <w:p w14:paraId="4C8EDD49" w14:textId="77777777" w:rsidR="00D80B6D" w:rsidRPr="004B5797" w:rsidRDefault="00D80B6D" w:rsidP="00D80B6D">
          <w:pPr>
            <w:spacing w:before="240" w:line="288" w:lineRule="exact"/>
            <w:ind w:left="162"/>
            <w:jc w:val="center"/>
            <w:rPr>
              <w:rFonts w:ascii="Arial" w:hAnsi="Arial" w:cs="Arial"/>
              <w:sz w:val="24"/>
            </w:rPr>
          </w:pPr>
          <w:r w:rsidRPr="004B5797">
            <w:rPr>
              <w:rFonts w:ascii="Arial" w:hAnsi="Arial" w:cs="Arial"/>
              <w:color w:val="1D1D1B"/>
              <w:sz w:val="24"/>
            </w:rPr>
            <w:t>INDEX OČEKÁVANÝCH CEN PŘI PRODEJI NEMOVITOSTI</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3891EFEA"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40</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FC2522">
            <w:rPr>
              <w:rStyle w:val="dn"/>
              <w:rFonts w:ascii="Arial" w:hAnsi="Arial" w:cs="Arial"/>
              <w:sz w:val="18"/>
              <w:szCs w:val="18"/>
            </w:rPr>
            <w:t xml:space="preserve">Více na </w:t>
          </w:r>
          <w:hyperlink r:id="rId9" w:history="1">
            <w:r w:rsidR="007B232E" w:rsidRPr="00F6177F">
              <w:rPr>
                <w:rStyle w:val="Hypertextovodkaz"/>
                <w:rFonts w:ascii="Arial" w:hAnsi="Arial" w:cs="Arial"/>
                <w:sz w:val="18"/>
                <w:szCs w:val="18"/>
              </w:rPr>
              <w:t>bcas.cz</w:t>
            </w:r>
          </w:hyperlink>
          <w:r w:rsidRPr="007B232E">
            <w:rPr>
              <w:rStyle w:val="Hypertextovodkaz"/>
              <w:rFonts w:ascii="Arial" w:hAnsi="Arial" w:cs="Arial"/>
              <w:sz w:val="18"/>
              <w:szCs w:val="18"/>
              <w:u w:val="none"/>
            </w:rPr>
            <w:t xml:space="preserve">, </w:t>
          </w:r>
          <w:hyperlink r:id="rId10" w:history="1">
            <w:r w:rsidR="007B232E" w:rsidRPr="00F6177F">
              <w:rPr>
                <w:rStyle w:val="Hypertextovodkaz"/>
                <w:rFonts w:ascii="Arial" w:hAnsi="Arial" w:cs="Arial"/>
                <w:sz w:val="18"/>
                <w:szCs w:val="18"/>
              </w:rPr>
              <w:t>okpointy.cz</w:t>
            </w:r>
          </w:hyperlink>
          <w:r w:rsidR="007B232E" w:rsidRPr="007B232E">
            <w:rPr>
              <w:rStyle w:val="Hypertextovodkaz"/>
              <w:rFonts w:ascii="Arial" w:hAnsi="Arial" w:cs="Arial"/>
              <w:color w:val="FF0000"/>
              <w:sz w:val="18"/>
              <w:szCs w:val="18"/>
              <w:u w:val="none"/>
            </w:rPr>
            <w:t xml:space="preserve">, </w:t>
          </w:r>
          <w:hyperlink r:id="rId11" w:history="1">
            <w:r w:rsidR="007B232E" w:rsidRPr="007B232E">
              <w:rPr>
                <w:rStyle w:val="Hypertextovodkaz"/>
                <w:rFonts w:ascii="Arial" w:hAnsi="Arial" w:cs="Arial"/>
                <w:sz w:val="18"/>
                <w:szCs w:val="18"/>
              </w:rPr>
              <w:t>okpoint.tv</w:t>
            </w:r>
          </w:hyperlink>
          <w:r w:rsidRPr="00FC2522">
            <w:rPr>
              <w:rStyle w:val="dn"/>
              <w:rFonts w:ascii="Arial" w:hAnsi="Arial" w:cs="Arial"/>
              <w:sz w:val="18"/>
              <w:szCs w:val="18"/>
            </w:rPr>
            <w:t xml:space="preserve"> a na </w:t>
          </w:r>
          <w:hyperlink r:id="rId12" w:history="1">
            <w:r w:rsidRPr="007B232E">
              <w:rPr>
                <w:rStyle w:val="Hypertextovodkaz"/>
                <w:rFonts w:ascii="Arial" w:hAnsi="Arial" w:cs="Arial"/>
                <w:sz w:val="18"/>
                <w:szCs w:val="18"/>
              </w:rPr>
              <w:t>realityspolu.cz</w:t>
            </w:r>
          </w:hyperlink>
          <w:r w:rsidR="007B232E" w:rsidRPr="007B232E">
            <w:rPr>
              <w:rStyle w:val="Hypertextovodkaz"/>
              <w:rFonts w:ascii="Arial" w:hAnsi="Arial" w:cs="Arial"/>
              <w:color w:val="FF0000"/>
              <w:sz w:val="18"/>
              <w:szCs w:val="18"/>
              <w:u w:val="none"/>
            </w:rPr>
            <w:t xml:space="preserve">. </w:t>
          </w:r>
          <w:r w:rsidRPr="00FC2522">
            <w:rPr>
              <w:rStyle w:val="dn"/>
              <w:rFonts w:ascii="Arial" w:hAnsi="Arial" w:cs="Arial"/>
              <w:sz w:val="18"/>
              <w:szCs w:val="18"/>
            </w:rPr>
            <w:t xml:space="preserve">Navštivte také náš </w:t>
          </w:r>
          <w:hyperlink r:id="rId13" w:history="1">
            <w:r w:rsidRPr="007B232E">
              <w:rPr>
                <w:rStyle w:val="Hypertextovodkaz"/>
                <w:rFonts w:ascii="Arial" w:hAnsi="Arial" w:cs="Arial"/>
                <w:color w:val="0066FF"/>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4" w:history="1">
            <w:r w:rsidRPr="007B232E">
              <w:rPr>
                <w:rStyle w:val="Hypertextovodkaz"/>
                <w:rFonts w:ascii="Arial" w:hAnsi="Arial" w:cs="Arial"/>
                <w:color w:val="0066FF"/>
                <w:sz w:val="18"/>
                <w:szCs w:val="18"/>
              </w:rPr>
              <w:t>LinkedIN</w:t>
            </w:r>
          </w:hyperlink>
          <w:r w:rsidRPr="00FC2522">
            <w:rPr>
              <w:rStyle w:val="dn"/>
              <w:rFonts w:ascii="Arial" w:hAnsi="Arial" w:cs="Arial"/>
              <w:sz w:val="18"/>
              <w:szCs w:val="18"/>
            </w:rPr>
            <w:t xml:space="preserve"> Broker Consulting a </w:t>
          </w:r>
          <w:hyperlink r:id="rId15" w:history="1">
            <w:r w:rsidRPr="007B232E">
              <w:rPr>
                <w:rStyle w:val="Hypertextovodkaz"/>
                <w:rFonts w:ascii="Arial" w:hAnsi="Arial" w:cs="Arial"/>
                <w:color w:val="0066FF"/>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6" w:history="1">
            <w:r w:rsidRPr="007B232E">
              <w:rPr>
                <w:rStyle w:val="Hypertextovodkaz"/>
                <w:rFonts w:ascii="Arial" w:hAnsi="Arial" w:cs="Arial"/>
                <w:color w:val="0066FF"/>
                <w:sz w:val="18"/>
                <w:szCs w:val="18"/>
              </w:rPr>
              <w:t>LinkedI</w:t>
            </w:r>
          </w:hyperlink>
          <w:r w:rsidRPr="007B232E">
            <w:rPr>
              <w:rStyle w:val="Hypertextovodkaz"/>
              <w:rFonts w:ascii="Arial" w:hAnsi="Arial" w:cs="Arial"/>
              <w:color w:val="0066FF"/>
              <w:sz w:val="18"/>
              <w:szCs w:val="18"/>
            </w:rPr>
            <w:t>N</w:t>
          </w:r>
          <w:r w:rsidRPr="007B232E">
            <w:rPr>
              <w:rStyle w:val="dn"/>
              <w:rFonts w:ascii="Arial" w:hAnsi="Arial" w:cs="Arial"/>
              <w:color w:val="0066FF"/>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7"/>
              <w:footerReference w:type="default" r:id="rId18"/>
              <w:pgSz w:w="11910" w:h="16840"/>
              <w:pgMar w:top="960" w:right="740" w:bottom="0" w:left="720" w:header="708" w:footer="708" w:gutter="0"/>
              <w:cols w:space="708"/>
            </w:sectPr>
          </w:pPr>
        </w:p>
        <w:p w14:paraId="35539C65" w14:textId="1251B28C" w:rsidR="00D31127" w:rsidRPr="00FC2522" w:rsidRDefault="00BD6E76" w:rsidP="0025264B">
          <w:pPr>
            <w:rPr>
              <w:rFonts w:ascii="Arial" w:hAnsi="Arial" w:cs="Arial"/>
              <w:b/>
              <w:sz w:val="20"/>
              <w:szCs w:val="20"/>
              <w:highlight w:val="yellow"/>
            </w:rPr>
            <w:sectPr w:rsidR="00D31127" w:rsidRPr="00FC2522"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45655022" w14:textId="77777777" w:rsidR="0073009C" w:rsidRDefault="0073009C" w:rsidP="001675AF">
      <w:pPr>
        <w:jc w:val="center"/>
        <w:rPr>
          <w:rFonts w:ascii="Arial" w:hAnsi="Arial" w:cs="Arial"/>
          <w:b/>
          <w:sz w:val="24"/>
          <w:szCs w:val="24"/>
        </w:rPr>
      </w:pPr>
    </w:p>
    <w:p w14:paraId="303CCAEC" w14:textId="77777777" w:rsidR="00CC0CB0" w:rsidRDefault="00CC0CB0" w:rsidP="001675AF">
      <w:pPr>
        <w:jc w:val="center"/>
        <w:rPr>
          <w:rFonts w:ascii="Arial" w:hAnsi="Arial" w:cs="Arial"/>
          <w:b/>
          <w:sz w:val="24"/>
          <w:szCs w:val="24"/>
        </w:rPr>
      </w:pPr>
    </w:p>
    <w:p w14:paraId="6ABD674A" w14:textId="0B256398" w:rsidR="00F975AD" w:rsidRPr="00E32C50" w:rsidRDefault="009E2833" w:rsidP="001675AF">
      <w:pPr>
        <w:jc w:val="center"/>
        <w:rPr>
          <w:rFonts w:ascii="Arial" w:hAnsi="Arial" w:cs="Arial"/>
          <w:b/>
          <w:sz w:val="28"/>
          <w:szCs w:val="28"/>
        </w:rPr>
      </w:pPr>
      <w:r w:rsidRPr="00E32C50">
        <w:rPr>
          <w:rFonts w:ascii="Arial" w:hAnsi="Arial" w:cs="Arial"/>
          <w:b/>
          <w:sz w:val="28"/>
          <w:szCs w:val="28"/>
        </w:rPr>
        <w:t>Hypotéky dál zvolna z</w:t>
      </w:r>
      <w:r w:rsidR="00F975AD" w:rsidRPr="00E32C50">
        <w:rPr>
          <w:rFonts w:ascii="Arial" w:hAnsi="Arial" w:cs="Arial"/>
          <w:b/>
          <w:sz w:val="28"/>
          <w:szCs w:val="28"/>
        </w:rPr>
        <w:t>dražují, jeji</w:t>
      </w:r>
      <w:bookmarkStart w:id="0" w:name="_GoBack"/>
      <w:bookmarkEnd w:id="0"/>
      <w:r w:rsidR="00F975AD" w:rsidRPr="00E32C50">
        <w:rPr>
          <w:rFonts w:ascii="Arial" w:hAnsi="Arial" w:cs="Arial"/>
          <w:b/>
          <w:sz w:val="28"/>
          <w:szCs w:val="28"/>
        </w:rPr>
        <w:t>ch průměrná úroková sazba se v červnu zvedla na 2,25 %</w:t>
      </w:r>
      <w:r w:rsidR="007D085C" w:rsidRPr="00E32C50">
        <w:rPr>
          <w:rFonts w:ascii="Arial" w:hAnsi="Arial" w:cs="Arial"/>
          <w:b/>
          <w:sz w:val="28"/>
          <w:szCs w:val="28"/>
        </w:rPr>
        <w:t xml:space="preserve">. </w:t>
      </w:r>
      <w:r w:rsidR="00AE44CB">
        <w:rPr>
          <w:rFonts w:ascii="Arial" w:hAnsi="Arial" w:cs="Arial"/>
          <w:b/>
          <w:sz w:val="28"/>
          <w:szCs w:val="28"/>
        </w:rPr>
        <w:t xml:space="preserve">Sazby mají nejčastěji 5 letou fixaci </w:t>
      </w:r>
      <w:r w:rsidR="000E6E14" w:rsidRPr="00E32C50">
        <w:rPr>
          <w:rFonts w:ascii="Arial" w:hAnsi="Arial" w:cs="Arial"/>
          <w:b/>
          <w:sz w:val="28"/>
          <w:szCs w:val="28"/>
        </w:rPr>
        <w:t xml:space="preserve"> </w:t>
      </w:r>
    </w:p>
    <w:p w14:paraId="7467897D" w14:textId="4CCE2F85" w:rsidR="00C23E32" w:rsidRPr="00BB51F4" w:rsidRDefault="00C23E32" w:rsidP="00B27178">
      <w:pPr>
        <w:jc w:val="both"/>
        <w:rPr>
          <w:rFonts w:ascii="Arial" w:hAnsi="Arial" w:cs="Arial"/>
          <w:b/>
          <w:sz w:val="20"/>
          <w:szCs w:val="20"/>
        </w:rPr>
      </w:pPr>
    </w:p>
    <w:p w14:paraId="1809EC78" w14:textId="77777777" w:rsidR="00CC0CB0" w:rsidRPr="00BB51F4" w:rsidRDefault="00CC0CB0" w:rsidP="00CA7CAF">
      <w:pPr>
        <w:jc w:val="both"/>
        <w:rPr>
          <w:rFonts w:ascii="Arial" w:hAnsi="Arial" w:cs="Arial"/>
          <w:i/>
          <w:sz w:val="20"/>
          <w:szCs w:val="20"/>
        </w:rPr>
      </w:pPr>
    </w:p>
    <w:p w14:paraId="505A2B7B" w14:textId="5D427284" w:rsidR="009E2833" w:rsidRDefault="00E6319B" w:rsidP="009E2833">
      <w:pPr>
        <w:jc w:val="both"/>
        <w:rPr>
          <w:rFonts w:ascii="Arial" w:hAnsi="Arial" w:cs="Arial"/>
          <w:b/>
          <w:sz w:val="20"/>
          <w:szCs w:val="20"/>
        </w:rPr>
      </w:pPr>
      <w:r w:rsidRPr="00BB51F4">
        <w:rPr>
          <w:rFonts w:ascii="Arial" w:hAnsi="Arial" w:cs="Arial"/>
          <w:i/>
          <w:sz w:val="20"/>
          <w:szCs w:val="20"/>
        </w:rPr>
        <w:t xml:space="preserve">Praha, </w:t>
      </w:r>
      <w:r w:rsidR="0024212A">
        <w:rPr>
          <w:rFonts w:ascii="Arial" w:hAnsi="Arial" w:cs="Arial"/>
          <w:i/>
          <w:sz w:val="20"/>
          <w:szCs w:val="20"/>
        </w:rPr>
        <w:t>1</w:t>
      </w:r>
      <w:r w:rsidR="00194831">
        <w:rPr>
          <w:rFonts w:ascii="Arial" w:hAnsi="Arial" w:cs="Arial"/>
          <w:i/>
          <w:sz w:val="20"/>
          <w:szCs w:val="20"/>
        </w:rPr>
        <w:t>9</w:t>
      </w:r>
      <w:r w:rsidR="003A4D47" w:rsidRPr="00BB51F4">
        <w:rPr>
          <w:rFonts w:ascii="Arial" w:hAnsi="Arial" w:cs="Arial"/>
          <w:i/>
          <w:sz w:val="20"/>
          <w:szCs w:val="20"/>
        </w:rPr>
        <w:t>.</w:t>
      </w:r>
      <w:r w:rsidRPr="00BB51F4">
        <w:rPr>
          <w:rFonts w:ascii="Arial" w:hAnsi="Arial" w:cs="Arial"/>
          <w:i/>
          <w:sz w:val="20"/>
          <w:szCs w:val="20"/>
        </w:rPr>
        <w:t xml:space="preserve"> </w:t>
      </w:r>
      <w:r w:rsidR="00487B6B" w:rsidRPr="00BB51F4">
        <w:rPr>
          <w:rFonts w:ascii="Arial" w:hAnsi="Arial" w:cs="Arial"/>
          <w:i/>
          <w:sz w:val="20"/>
          <w:szCs w:val="20"/>
        </w:rPr>
        <w:t>června</w:t>
      </w:r>
      <w:r w:rsidRPr="00BB51F4">
        <w:rPr>
          <w:rFonts w:ascii="Arial" w:hAnsi="Arial" w:cs="Arial"/>
          <w:i/>
          <w:sz w:val="20"/>
          <w:szCs w:val="20"/>
        </w:rPr>
        <w:t xml:space="preserve"> 2021</w:t>
      </w:r>
      <w:r w:rsidRPr="00BB51F4">
        <w:rPr>
          <w:rFonts w:ascii="Arial" w:hAnsi="Arial" w:cs="Arial"/>
          <w:sz w:val="20"/>
          <w:szCs w:val="20"/>
        </w:rPr>
        <w:t xml:space="preserve"> </w:t>
      </w:r>
      <w:r w:rsidR="000851AC" w:rsidRPr="00BB51F4">
        <w:rPr>
          <w:rFonts w:ascii="Arial" w:hAnsi="Arial" w:cs="Arial"/>
          <w:sz w:val="20"/>
          <w:szCs w:val="20"/>
        </w:rPr>
        <w:t>–</w:t>
      </w:r>
      <w:r w:rsidR="002D64A2" w:rsidRPr="00BB51F4">
        <w:rPr>
          <w:rFonts w:ascii="Arial" w:hAnsi="Arial" w:cs="Arial"/>
          <w:b/>
          <w:sz w:val="20"/>
          <w:szCs w:val="20"/>
        </w:rPr>
        <w:t xml:space="preserve"> </w:t>
      </w:r>
      <w:r w:rsidR="009E2833">
        <w:rPr>
          <w:rFonts w:ascii="Arial" w:hAnsi="Arial" w:cs="Arial"/>
          <w:b/>
          <w:sz w:val="20"/>
          <w:szCs w:val="20"/>
        </w:rPr>
        <w:t xml:space="preserve">Podle červnových výsledků Broker Consulting Indexu hypotečních úvěrů poskočila průměrná úroková sazba </w:t>
      </w:r>
      <w:r w:rsidR="000E6E14">
        <w:rPr>
          <w:rFonts w:ascii="Arial" w:hAnsi="Arial" w:cs="Arial"/>
          <w:b/>
          <w:sz w:val="20"/>
          <w:szCs w:val="20"/>
        </w:rPr>
        <w:t xml:space="preserve">hypoték </w:t>
      </w:r>
      <w:r w:rsidR="009E2833">
        <w:rPr>
          <w:rFonts w:ascii="Arial" w:hAnsi="Arial" w:cs="Arial"/>
          <w:b/>
          <w:sz w:val="20"/>
          <w:szCs w:val="20"/>
        </w:rPr>
        <w:t xml:space="preserve">o 0,1procentního bodu na 2,25 %. </w:t>
      </w:r>
      <w:r w:rsidR="000E6E14">
        <w:rPr>
          <w:rFonts w:ascii="Arial" w:hAnsi="Arial" w:cs="Arial"/>
          <w:b/>
          <w:sz w:val="20"/>
          <w:szCs w:val="20"/>
        </w:rPr>
        <w:t>Odborníci očekávají, že červnové skokové zvýšení sazeb ČNB se v průměrné sazbě pro klienty výrazněji promítne minimálně s měsíčním zpožděním</w:t>
      </w:r>
      <w:r w:rsidR="004C0CEF">
        <w:rPr>
          <w:rFonts w:ascii="Arial" w:hAnsi="Arial" w:cs="Arial"/>
          <w:b/>
          <w:sz w:val="20"/>
          <w:szCs w:val="20"/>
        </w:rPr>
        <w:t>,</w:t>
      </w:r>
      <w:r w:rsidR="000E6E14">
        <w:rPr>
          <w:rFonts w:ascii="Arial" w:hAnsi="Arial" w:cs="Arial"/>
          <w:b/>
          <w:sz w:val="20"/>
          <w:szCs w:val="20"/>
        </w:rPr>
        <w:t xml:space="preserve"> následně by mohl zájem o hypotéky mírně </w:t>
      </w:r>
      <w:r w:rsidR="004C0CEF">
        <w:rPr>
          <w:rFonts w:ascii="Arial" w:hAnsi="Arial" w:cs="Arial"/>
          <w:b/>
          <w:sz w:val="20"/>
          <w:szCs w:val="20"/>
        </w:rPr>
        <w:t>opadnout. Naproti tomu zájem Čechů o</w:t>
      </w:r>
      <w:r w:rsidR="00C52DA0">
        <w:rPr>
          <w:rFonts w:ascii="Arial" w:hAnsi="Arial" w:cs="Arial"/>
          <w:b/>
          <w:sz w:val="20"/>
          <w:szCs w:val="20"/>
        </w:rPr>
        <w:t xml:space="preserve"> </w:t>
      </w:r>
      <w:r w:rsidR="004C0CEF">
        <w:rPr>
          <w:rFonts w:ascii="Arial" w:hAnsi="Arial" w:cs="Arial"/>
          <w:b/>
          <w:sz w:val="20"/>
          <w:szCs w:val="20"/>
        </w:rPr>
        <w:t xml:space="preserve">fixaci sazby </w:t>
      </w:r>
      <w:r w:rsidR="00C52DA0">
        <w:rPr>
          <w:rFonts w:ascii="Arial" w:hAnsi="Arial" w:cs="Arial"/>
          <w:b/>
          <w:sz w:val="20"/>
          <w:szCs w:val="20"/>
        </w:rPr>
        <w:t xml:space="preserve">na 5 let </w:t>
      </w:r>
      <w:r w:rsidR="004C0CEF">
        <w:rPr>
          <w:rFonts w:ascii="Arial" w:hAnsi="Arial" w:cs="Arial"/>
          <w:b/>
          <w:sz w:val="20"/>
          <w:szCs w:val="20"/>
        </w:rPr>
        <w:t>zůstává stále vysoký</w:t>
      </w:r>
      <w:r w:rsidR="00AE44CB">
        <w:rPr>
          <w:rFonts w:ascii="Arial" w:hAnsi="Arial" w:cs="Arial"/>
          <w:b/>
          <w:sz w:val="20"/>
          <w:szCs w:val="20"/>
        </w:rPr>
        <w:t xml:space="preserve">. Jak ukazuje </w:t>
      </w:r>
      <w:proofErr w:type="spellStart"/>
      <w:r w:rsidR="00AE44CB">
        <w:rPr>
          <w:rFonts w:ascii="Arial" w:hAnsi="Arial" w:cs="Arial"/>
          <w:b/>
          <w:sz w:val="20"/>
          <w:szCs w:val="20"/>
        </w:rPr>
        <w:t>FIXIndex</w:t>
      </w:r>
      <w:proofErr w:type="spellEnd"/>
      <w:r w:rsidR="00E32C50">
        <w:rPr>
          <w:rFonts w:ascii="Arial" w:hAnsi="Arial" w:cs="Arial"/>
          <w:b/>
          <w:sz w:val="20"/>
          <w:szCs w:val="20"/>
        </w:rPr>
        <w:t xml:space="preserve">, </w:t>
      </w:r>
      <w:r w:rsidR="00AE44CB">
        <w:rPr>
          <w:rFonts w:ascii="Arial" w:hAnsi="Arial" w:cs="Arial"/>
          <w:b/>
          <w:sz w:val="20"/>
          <w:szCs w:val="20"/>
        </w:rPr>
        <w:t xml:space="preserve">tuto fixaci volí </w:t>
      </w:r>
      <w:r w:rsidR="00E32C50">
        <w:rPr>
          <w:rFonts w:ascii="Arial" w:hAnsi="Arial" w:cs="Arial"/>
          <w:b/>
          <w:sz w:val="20"/>
          <w:szCs w:val="20"/>
        </w:rPr>
        <w:t>téměř tři čtvrtiny žadatelů o hypotéku</w:t>
      </w:r>
      <w:r w:rsidR="004C0CEF">
        <w:rPr>
          <w:rFonts w:ascii="Arial" w:hAnsi="Arial" w:cs="Arial"/>
          <w:b/>
          <w:sz w:val="20"/>
          <w:szCs w:val="20"/>
        </w:rPr>
        <w:t xml:space="preserve">. </w:t>
      </w:r>
      <w:r w:rsidR="000E6E14">
        <w:rPr>
          <w:rFonts w:ascii="Arial" w:hAnsi="Arial" w:cs="Arial"/>
          <w:b/>
          <w:sz w:val="20"/>
          <w:szCs w:val="20"/>
        </w:rPr>
        <w:t xml:space="preserve"> </w:t>
      </w:r>
    </w:p>
    <w:p w14:paraId="5662C0BE" w14:textId="77777777" w:rsidR="009E2833" w:rsidRPr="001524FB" w:rsidRDefault="009E2833" w:rsidP="009E2833">
      <w:pPr>
        <w:jc w:val="both"/>
        <w:rPr>
          <w:rFonts w:ascii="Arial" w:hAnsi="Arial" w:cs="Arial"/>
          <w:b/>
          <w:sz w:val="20"/>
          <w:szCs w:val="20"/>
        </w:rPr>
      </w:pPr>
    </w:p>
    <w:p w14:paraId="5CE098D5" w14:textId="6C86E840" w:rsidR="00EE3DAD" w:rsidRPr="00EE3DAD" w:rsidRDefault="00C52DA0" w:rsidP="001524FB">
      <w:pPr>
        <w:jc w:val="both"/>
        <w:rPr>
          <w:rFonts w:ascii="Arial" w:eastAsia="Times New Roman" w:hAnsi="Arial" w:cs="Arial"/>
          <w:sz w:val="20"/>
          <w:szCs w:val="20"/>
        </w:rPr>
      </w:pPr>
      <w:r w:rsidRPr="001524FB">
        <w:rPr>
          <w:rFonts w:ascii="Arial" w:eastAsia="Times New Roman" w:hAnsi="Arial" w:cs="Arial"/>
          <w:i/>
          <w:sz w:val="20"/>
          <w:szCs w:val="20"/>
        </w:rPr>
        <w:t>„</w:t>
      </w:r>
      <w:r w:rsidR="004C0CEF" w:rsidRPr="001524FB">
        <w:rPr>
          <w:rFonts w:ascii="Arial" w:eastAsia="Times New Roman" w:hAnsi="Arial" w:cs="Arial"/>
          <w:i/>
          <w:sz w:val="20"/>
          <w:szCs w:val="20"/>
        </w:rPr>
        <w:t>Ačkoli v červnu došlo k</w:t>
      </w:r>
      <w:r w:rsidRPr="001524FB">
        <w:rPr>
          <w:rFonts w:ascii="Arial" w:eastAsia="Times New Roman" w:hAnsi="Arial" w:cs="Arial"/>
          <w:i/>
          <w:sz w:val="20"/>
          <w:szCs w:val="20"/>
        </w:rPr>
        <w:t>e skokovému</w:t>
      </w:r>
      <w:r w:rsidR="004C0CEF" w:rsidRPr="001524FB">
        <w:rPr>
          <w:rFonts w:ascii="Arial" w:eastAsia="Times New Roman" w:hAnsi="Arial" w:cs="Arial"/>
          <w:i/>
          <w:sz w:val="20"/>
          <w:szCs w:val="20"/>
        </w:rPr>
        <w:t xml:space="preserve"> zvýšení úrokový</w:t>
      </w:r>
      <w:r w:rsidR="008B05F2" w:rsidRPr="001524FB">
        <w:rPr>
          <w:rFonts w:ascii="Arial" w:eastAsia="Times New Roman" w:hAnsi="Arial" w:cs="Arial"/>
          <w:i/>
          <w:sz w:val="20"/>
          <w:szCs w:val="20"/>
        </w:rPr>
        <w:t>ch sazeb ze strany Č</w:t>
      </w:r>
      <w:r w:rsidRPr="001524FB">
        <w:rPr>
          <w:rFonts w:ascii="Arial" w:eastAsia="Times New Roman" w:hAnsi="Arial" w:cs="Arial"/>
          <w:i/>
          <w:sz w:val="20"/>
          <w:szCs w:val="20"/>
        </w:rPr>
        <w:t>eské národní banky</w:t>
      </w:r>
      <w:r w:rsidR="008B05F2" w:rsidRPr="001524FB">
        <w:rPr>
          <w:rFonts w:ascii="Arial" w:eastAsia="Times New Roman" w:hAnsi="Arial" w:cs="Arial"/>
          <w:i/>
          <w:sz w:val="20"/>
          <w:szCs w:val="20"/>
        </w:rPr>
        <w:t xml:space="preserve">, v průměrných sazbách se </w:t>
      </w:r>
      <w:r w:rsidR="00B30A9E" w:rsidRPr="001524FB">
        <w:rPr>
          <w:rFonts w:ascii="Arial" w:eastAsia="Times New Roman" w:hAnsi="Arial" w:cs="Arial"/>
          <w:i/>
          <w:sz w:val="20"/>
          <w:szCs w:val="20"/>
        </w:rPr>
        <w:t xml:space="preserve">toto zvýšení </w:t>
      </w:r>
      <w:r w:rsidR="008B05F2" w:rsidRPr="001524FB">
        <w:rPr>
          <w:rFonts w:ascii="Arial" w:eastAsia="Times New Roman" w:hAnsi="Arial" w:cs="Arial"/>
          <w:i/>
          <w:sz w:val="20"/>
          <w:szCs w:val="20"/>
        </w:rPr>
        <w:t>projeví se zpožděním</w:t>
      </w:r>
      <w:r w:rsidR="004C0CEF" w:rsidRPr="001524FB">
        <w:rPr>
          <w:rFonts w:ascii="Arial" w:eastAsia="Times New Roman" w:hAnsi="Arial" w:cs="Arial"/>
          <w:i/>
          <w:sz w:val="20"/>
          <w:szCs w:val="20"/>
        </w:rPr>
        <w:t xml:space="preserve"> </w:t>
      </w:r>
      <w:r w:rsidR="008B05F2" w:rsidRPr="001524FB">
        <w:rPr>
          <w:rFonts w:ascii="Arial" w:eastAsia="Times New Roman" w:hAnsi="Arial" w:cs="Arial"/>
          <w:i/>
          <w:sz w:val="20"/>
          <w:szCs w:val="20"/>
        </w:rPr>
        <w:t xml:space="preserve">až v červenci, případně v srpnu. </w:t>
      </w:r>
      <w:r w:rsidR="00B30A9E" w:rsidRPr="001524FB">
        <w:rPr>
          <w:rFonts w:ascii="Arial" w:eastAsia="Times New Roman" w:hAnsi="Arial" w:cs="Arial"/>
          <w:i/>
          <w:sz w:val="20"/>
          <w:szCs w:val="20"/>
        </w:rPr>
        <w:t xml:space="preserve">Dramaticky vyšší sazby </w:t>
      </w:r>
      <w:r w:rsidRPr="001524FB">
        <w:rPr>
          <w:rFonts w:ascii="Arial" w:eastAsia="Times New Roman" w:hAnsi="Arial" w:cs="Arial"/>
          <w:i/>
          <w:sz w:val="20"/>
          <w:szCs w:val="20"/>
        </w:rPr>
        <w:t>klienti zatím nepocítili také kvůli zpoždění na straně poskytovatelů hypoték, kteří zpracovávají enormní množství úvěrových žádostí z první poloviny roku,“</w:t>
      </w:r>
      <w:r w:rsidRPr="001524FB">
        <w:rPr>
          <w:rFonts w:ascii="Arial" w:eastAsia="Times New Roman" w:hAnsi="Arial" w:cs="Arial"/>
          <w:sz w:val="20"/>
          <w:szCs w:val="20"/>
        </w:rPr>
        <w:t xml:space="preserve"> vysvětluje </w:t>
      </w:r>
      <w:r w:rsidRPr="001524FB">
        <w:rPr>
          <w:rFonts w:ascii="Arial" w:eastAsia="Times New Roman" w:hAnsi="Arial" w:cs="Arial"/>
          <w:b/>
          <w:sz w:val="20"/>
          <w:szCs w:val="20"/>
        </w:rPr>
        <w:t>hlavní analytik Broker Consulting Martin Novák.</w:t>
      </w:r>
      <w:r w:rsidRPr="001524FB">
        <w:rPr>
          <w:rFonts w:ascii="Arial" w:eastAsia="Times New Roman" w:hAnsi="Arial" w:cs="Arial"/>
          <w:sz w:val="20"/>
          <w:szCs w:val="20"/>
        </w:rPr>
        <w:t xml:space="preserve"> </w:t>
      </w:r>
    </w:p>
    <w:p w14:paraId="2F54053D" w14:textId="77777777" w:rsidR="00EE3DAD" w:rsidRPr="00EE3DAD" w:rsidRDefault="00EE3DAD" w:rsidP="00EE3DAD">
      <w:pPr>
        <w:rPr>
          <w:rFonts w:ascii="Arial" w:eastAsia="Times New Roman" w:hAnsi="Arial" w:cs="Arial"/>
          <w:sz w:val="20"/>
          <w:szCs w:val="20"/>
        </w:rPr>
      </w:pPr>
    </w:p>
    <w:p w14:paraId="7D234F65" w14:textId="19EAB3E3" w:rsidR="005773B2" w:rsidRDefault="005773B2" w:rsidP="00A5429B">
      <w:pPr>
        <w:jc w:val="both"/>
        <w:rPr>
          <w:rFonts w:ascii="Arial" w:eastAsia="Times New Roman" w:hAnsi="Arial" w:cs="Arial"/>
          <w:sz w:val="20"/>
          <w:szCs w:val="20"/>
        </w:rPr>
      </w:pPr>
      <w:r w:rsidRPr="005773B2">
        <w:rPr>
          <w:rFonts w:ascii="Arial" w:eastAsia="Times New Roman" w:hAnsi="Arial" w:cs="Arial"/>
          <w:i/>
          <w:sz w:val="20"/>
          <w:szCs w:val="20"/>
        </w:rPr>
        <w:t>„Délka zpracování úvěru trvá za běžné situace méně než jeden týden, a to včetně doložení všech nezbytných podkladů. Donedávna však byla celá řada našich klientů nucena čekat na zpracování i déle než dva týdny, což jim mnohdy velmi zkomplikovalo situaci při nákupu nemovitosti,“</w:t>
      </w:r>
      <w:r>
        <w:rPr>
          <w:rFonts w:ascii="Arial" w:eastAsia="Times New Roman" w:hAnsi="Arial" w:cs="Arial"/>
          <w:sz w:val="20"/>
          <w:szCs w:val="20"/>
        </w:rPr>
        <w:t xml:space="preserve"> popisuje situaci </w:t>
      </w:r>
      <w:r w:rsidRPr="005773B2">
        <w:rPr>
          <w:rFonts w:ascii="Arial" w:eastAsia="Times New Roman" w:hAnsi="Arial" w:cs="Arial"/>
          <w:b/>
          <w:sz w:val="20"/>
          <w:szCs w:val="20"/>
        </w:rPr>
        <w:t>Lucie Langerová, ředitelka OK POINTu v Jablonci nad Nisou</w:t>
      </w:r>
      <w:r w:rsidRPr="00EE3DAD">
        <w:rPr>
          <w:rFonts w:ascii="Arial" w:eastAsia="Times New Roman" w:hAnsi="Arial" w:cs="Arial"/>
          <w:sz w:val="20"/>
          <w:szCs w:val="20"/>
        </w:rPr>
        <w:t xml:space="preserve">. </w:t>
      </w:r>
    </w:p>
    <w:p w14:paraId="64518601" w14:textId="77777777" w:rsidR="005773B2" w:rsidRDefault="005773B2" w:rsidP="00A5429B">
      <w:pPr>
        <w:jc w:val="both"/>
        <w:rPr>
          <w:rFonts w:ascii="Arial" w:eastAsia="Times New Roman" w:hAnsi="Arial" w:cs="Arial"/>
          <w:sz w:val="20"/>
          <w:szCs w:val="20"/>
        </w:rPr>
      </w:pPr>
    </w:p>
    <w:p w14:paraId="16B27365" w14:textId="502284FD" w:rsidR="00EE3DAD" w:rsidRDefault="001524FB" w:rsidP="00A5429B">
      <w:pPr>
        <w:jc w:val="both"/>
        <w:rPr>
          <w:rFonts w:ascii="Arial" w:eastAsia="Times New Roman" w:hAnsi="Arial" w:cs="Arial"/>
          <w:sz w:val="20"/>
          <w:szCs w:val="20"/>
        </w:rPr>
      </w:pPr>
      <w:r>
        <w:rPr>
          <w:rFonts w:ascii="Arial" w:eastAsia="Times New Roman" w:hAnsi="Arial" w:cs="Arial"/>
          <w:sz w:val="20"/>
          <w:szCs w:val="20"/>
        </w:rPr>
        <w:t xml:space="preserve">V důsledku </w:t>
      </w:r>
      <w:r w:rsidR="00EE3DAD" w:rsidRPr="00EE3DAD">
        <w:rPr>
          <w:rFonts w:ascii="Arial" w:eastAsia="Times New Roman" w:hAnsi="Arial" w:cs="Arial"/>
          <w:sz w:val="20"/>
          <w:szCs w:val="20"/>
        </w:rPr>
        <w:t xml:space="preserve">zvýšení </w:t>
      </w:r>
      <w:r>
        <w:rPr>
          <w:rFonts w:ascii="Arial" w:eastAsia="Times New Roman" w:hAnsi="Arial" w:cs="Arial"/>
          <w:sz w:val="20"/>
          <w:szCs w:val="20"/>
        </w:rPr>
        <w:t>úrokových sazeb lze předpokládat,</w:t>
      </w:r>
      <w:r w:rsidR="00EE3DAD" w:rsidRPr="00EE3DAD">
        <w:rPr>
          <w:rFonts w:ascii="Arial" w:eastAsia="Times New Roman" w:hAnsi="Arial" w:cs="Arial"/>
          <w:sz w:val="20"/>
          <w:szCs w:val="20"/>
        </w:rPr>
        <w:t xml:space="preserve"> že </w:t>
      </w:r>
      <w:r w:rsidR="00EE3DAD" w:rsidRPr="001524FB">
        <w:rPr>
          <w:rFonts w:ascii="Arial" w:eastAsia="Times New Roman" w:hAnsi="Arial" w:cs="Arial"/>
          <w:sz w:val="20"/>
          <w:szCs w:val="20"/>
        </w:rPr>
        <w:t>zájem o úvěry mírně opadne</w:t>
      </w:r>
      <w:r>
        <w:rPr>
          <w:rFonts w:ascii="Arial" w:eastAsia="Times New Roman" w:hAnsi="Arial" w:cs="Arial"/>
          <w:sz w:val="20"/>
          <w:szCs w:val="20"/>
        </w:rPr>
        <w:t xml:space="preserve">, čímž by mohlo dojít </w:t>
      </w:r>
      <w:r w:rsidRPr="001524FB">
        <w:rPr>
          <w:rFonts w:ascii="Arial" w:eastAsia="Times New Roman" w:hAnsi="Arial" w:cs="Arial"/>
          <w:sz w:val="20"/>
          <w:szCs w:val="20"/>
        </w:rPr>
        <w:t xml:space="preserve">ke </w:t>
      </w:r>
      <w:r w:rsidR="00EE3DAD" w:rsidRPr="001524FB">
        <w:rPr>
          <w:rFonts w:ascii="Arial" w:eastAsia="Times New Roman" w:hAnsi="Arial" w:cs="Arial"/>
          <w:sz w:val="20"/>
          <w:szCs w:val="20"/>
        </w:rPr>
        <w:t>znormalizování situace na hypotečním trhu.</w:t>
      </w:r>
      <w:r w:rsidR="00EE3DAD" w:rsidRPr="00EE3DAD">
        <w:rPr>
          <w:rFonts w:ascii="Arial" w:eastAsia="Times New Roman" w:hAnsi="Arial" w:cs="Arial"/>
          <w:sz w:val="20"/>
          <w:szCs w:val="20"/>
        </w:rPr>
        <w:t xml:space="preserve"> </w:t>
      </w:r>
      <w:r w:rsidR="005773B2">
        <w:rPr>
          <w:rFonts w:ascii="Arial" w:eastAsia="Times New Roman" w:hAnsi="Arial" w:cs="Arial"/>
          <w:sz w:val="20"/>
          <w:szCs w:val="20"/>
        </w:rPr>
        <w:t xml:space="preserve">Podle odborníků by mohl </w:t>
      </w:r>
      <w:r w:rsidR="005B5427">
        <w:rPr>
          <w:rFonts w:ascii="Arial" w:eastAsia="Times New Roman" w:hAnsi="Arial" w:cs="Arial"/>
          <w:sz w:val="20"/>
          <w:szCs w:val="20"/>
        </w:rPr>
        <w:t>povolit</w:t>
      </w:r>
      <w:r w:rsidR="005773B2">
        <w:rPr>
          <w:rFonts w:ascii="Arial" w:eastAsia="Times New Roman" w:hAnsi="Arial" w:cs="Arial"/>
          <w:sz w:val="20"/>
          <w:szCs w:val="20"/>
        </w:rPr>
        <w:t xml:space="preserve"> tlak, </w:t>
      </w:r>
      <w:r w:rsidR="005B5427">
        <w:rPr>
          <w:rFonts w:ascii="Arial" w:eastAsia="Times New Roman" w:hAnsi="Arial" w:cs="Arial"/>
          <w:sz w:val="20"/>
          <w:szCs w:val="20"/>
        </w:rPr>
        <w:t>jakému je realitní trh nyní vystaven, a v konečném důsledku by t</w:t>
      </w:r>
      <w:r w:rsidR="00AE44CB">
        <w:rPr>
          <w:rFonts w:ascii="Arial" w:eastAsia="Times New Roman" w:hAnsi="Arial" w:cs="Arial"/>
          <w:sz w:val="20"/>
          <w:szCs w:val="20"/>
        </w:rPr>
        <w:t xml:space="preserve">ak mohlo dojít k zastavení či alespoň </w:t>
      </w:r>
      <w:r w:rsidR="00EE3DAD" w:rsidRPr="005773B2">
        <w:rPr>
          <w:rFonts w:ascii="Arial" w:eastAsia="Times New Roman" w:hAnsi="Arial" w:cs="Arial"/>
          <w:sz w:val="20"/>
          <w:szCs w:val="20"/>
        </w:rPr>
        <w:t>zpomalení růst</w:t>
      </w:r>
      <w:r w:rsidR="005773B2" w:rsidRPr="005773B2">
        <w:rPr>
          <w:rFonts w:ascii="Arial" w:eastAsia="Times New Roman" w:hAnsi="Arial" w:cs="Arial"/>
          <w:sz w:val="20"/>
          <w:szCs w:val="20"/>
        </w:rPr>
        <w:t>u</w:t>
      </w:r>
      <w:r w:rsidR="00EE3DAD" w:rsidRPr="005773B2">
        <w:rPr>
          <w:rFonts w:ascii="Arial" w:eastAsia="Times New Roman" w:hAnsi="Arial" w:cs="Arial"/>
          <w:sz w:val="20"/>
          <w:szCs w:val="20"/>
        </w:rPr>
        <w:t xml:space="preserve"> cen nemovitostí.</w:t>
      </w:r>
      <w:r w:rsidR="005B5427">
        <w:rPr>
          <w:rFonts w:ascii="Arial" w:eastAsia="Times New Roman" w:hAnsi="Arial" w:cs="Arial"/>
          <w:sz w:val="20"/>
          <w:szCs w:val="20"/>
        </w:rPr>
        <w:t xml:space="preserve"> K tomu by měla také přispět novela </w:t>
      </w:r>
      <w:r w:rsidR="00EE3DAD" w:rsidRPr="00EE3DAD">
        <w:rPr>
          <w:rFonts w:ascii="Arial" w:eastAsia="Times New Roman" w:hAnsi="Arial" w:cs="Arial"/>
          <w:sz w:val="20"/>
          <w:szCs w:val="20"/>
        </w:rPr>
        <w:t>stavební</w:t>
      </w:r>
      <w:r w:rsidR="005B5427">
        <w:rPr>
          <w:rFonts w:ascii="Arial" w:eastAsia="Times New Roman" w:hAnsi="Arial" w:cs="Arial"/>
          <w:sz w:val="20"/>
          <w:szCs w:val="20"/>
        </w:rPr>
        <w:t>ho</w:t>
      </w:r>
      <w:r w:rsidR="00EE3DAD" w:rsidRPr="00EE3DAD">
        <w:rPr>
          <w:rFonts w:ascii="Arial" w:eastAsia="Times New Roman" w:hAnsi="Arial" w:cs="Arial"/>
          <w:sz w:val="20"/>
          <w:szCs w:val="20"/>
        </w:rPr>
        <w:t xml:space="preserve"> zákon</w:t>
      </w:r>
      <w:r w:rsidR="005B5427">
        <w:rPr>
          <w:rFonts w:ascii="Arial" w:eastAsia="Times New Roman" w:hAnsi="Arial" w:cs="Arial"/>
          <w:sz w:val="20"/>
          <w:szCs w:val="20"/>
        </w:rPr>
        <w:t xml:space="preserve">a, jejíž klíčovou úlohou mělo být </w:t>
      </w:r>
      <w:r w:rsidR="00EE3DAD" w:rsidRPr="00EE3DAD">
        <w:rPr>
          <w:rFonts w:ascii="Arial" w:eastAsia="Times New Roman" w:hAnsi="Arial" w:cs="Arial"/>
          <w:sz w:val="20"/>
          <w:szCs w:val="20"/>
        </w:rPr>
        <w:t xml:space="preserve">zrychlení stavebního řízení a obecně snížení administrativní zátěže. </w:t>
      </w:r>
      <w:r w:rsidR="005B5427">
        <w:rPr>
          <w:rFonts w:ascii="Arial" w:eastAsia="Times New Roman" w:hAnsi="Arial" w:cs="Arial"/>
          <w:sz w:val="20"/>
          <w:szCs w:val="20"/>
        </w:rPr>
        <w:t xml:space="preserve">Verze tohoto zákona, která složitě prošla legislativním procesem, je ovšem kritizována téměř všemi dotčenými subjekty, a tak se </w:t>
      </w:r>
      <w:r w:rsidR="00A5429B">
        <w:rPr>
          <w:rFonts w:ascii="Arial" w:eastAsia="Times New Roman" w:hAnsi="Arial" w:cs="Arial"/>
          <w:sz w:val="20"/>
          <w:szCs w:val="20"/>
        </w:rPr>
        <w:t>dá očekávat další série novelizací, úprav, metodických pokynů a vyhlášek.</w:t>
      </w:r>
      <w:r w:rsidR="00EE3DAD" w:rsidRPr="00EE3DAD">
        <w:rPr>
          <w:rFonts w:ascii="Arial" w:eastAsia="Times New Roman" w:hAnsi="Arial" w:cs="Arial"/>
          <w:sz w:val="20"/>
          <w:szCs w:val="20"/>
        </w:rPr>
        <w:t xml:space="preserve"> </w:t>
      </w:r>
      <w:r w:rsidR="00A5429B">
        <w:rPr>
          <w:rFonts w:ascii="Arial" w:eastAsia="Times New Roman" w:hAnsi="Arial" w:cs="Arial"/>
          <w:sz w:val="20"/>
          <w:szCs w:val="20"/>
        </w:rPr>
        <w:t xml:space="preserve">Novela by měla vstoupit v účinnost </w:t>
      </w:r>
      <w:r w:rsidR="00EE3DAD" w:rsidRPr="00A5429B">
        <w:rPr>
          <w:rFonts w:ascii="Arial" w:eastAsia="Times New Roman" w:hAnsi="Arial" w:cs="Arial"/>
          <w:sz w:val="20"/>
          <w:szCs w:val="20"/>
        </w:rPr>
        <w:t xml:space="preserve">až od roku 2023, </w:t>
      </w:r>
      <w:r w:rsidR="00A5429B">
        <w:rPr>
          <w:rFonts w:ascii="Arial" w:eastAsia="Times New Roman" w:hAnsi="Arial" w:cs="Arial"/>
          <w:sz w:val="20"/>
          <w:szCs w:val="20"/>
        </w:rPr>
        <w:t xml:space="preserve">tudíž </w:t>
      </w:r>
      <w:r w:rsidR="00EE3DAD" w:rsidRPr="00A5429B">
        <w:rPr>
          <w:rFonts w:ascii="Arial" w:eastAsia="Times New Roman" w:hAnsi="Arial" w:cs="Arial"/>
          <w:sz w:val="20"/>
          <w:szCs w:val="20"/>
        </w:rPr>
        <w:t xml:space="preserve">z tohoto pohledu </w:t>
      </w:r>
      <w:r w:rsidR="00A5429B" w:rsidRPr="00A5429B">
        <w:rPr>
          <w:rFonts w:ascii="Arial" w:eastAsia="Times New Roman" w:hAnsi="Arial" w:cs="Arial"/>
          <w:sz w:val="20"/>
          <w:szCs w:val="20"/>
        </w:rPr>
        <w:t>nelze na českém realitním trhu</w:t>
      </w:r>
      <w:r w:rsidR="00A5429B">
        <w:rPr>
          <w:rFonts w:ascii="Arial" w:eastAsia="Times New Roman" w:hAnsi="Arial" w:cs="Arial"/>
          <w:sz w:val="20"/>
          <w:szCs w:val="20"/>
        </w:rPr>
        <w:t xml:space="preserve"> v dohledné době </w:t>
      </w:r>
      <w:r w:rsidR="008957C5">
        <w:rPr>
          <w:rFonts w:ascii="Arial" w:eastAsia="Times New Roman" w:hAnsi="Arial" w:cs="Arial"/>
          <w:sz w:val="20"/>
          <w:szCs w:val="20"/>
        </w:rPr>
        <w:t xml:space="preserve">počítat </w:t>
      </w:r>
      <w:r w:rsidR="00A5429B">
        <w:rPr>
          <w:rFonts w:ascii="Arial" w:eastAsia="Times New Roman" w:hAnsi="Arial" w:cs="Arial"/>
          <w:sz w:val="20"/>
          <w:szCs w:val="20"/>
        </w:rPr>
        <w:t>s jakýmikoli</w:t>
      </w:r>
      <w:r w:rsidR="00A5429B" w:rsidRPr="00A5429B">
        <w:rPr>
          <w:rFonts w:ascii="Arial" w:eastAsia="Times New Roman" w:hAnsi="Arial" w:cs="Arial"/>
          <w:sz w:val="20"/>
          <w:szCs w:val="20"/>
        </w:rPr>
        <w:t xml:space="preserve"> změnami.</w:t>
      </w:r>
      <w:r w:rsidR="00A5429B">
        <w:rPr>
          <w:rFonts w:ascii="Arial" w:eastAsia="Times New Roman" w:hAnsi="Arial" w:cs="Arial"/>
          <w:b/>
          <w:sz w:val="20"/>
          <w:szCs w:val="20"/>
        </w:rPr>
        <w:t xml:space="preserve"> </w:t>
      </w:r>
      <w:r w:rsidR="00EE3DAD" w:rsidRPr="00EE3DAD">
        <w:rPr>
          <w:rFonts w:ascii="Arial" w:eastAsia="Times New Roman" w:hAnsi="Arial" w:cs="Arial"/>
          <w:b/>
          <w:sz w:val="20"/>
          <w:szCs w:val="20"/>
        </w:rPr>
        <w:t xml:space="preserve"> </w:t>
      </w:r>
    </w:p>
    <w:p w14:paraId="2F88BDA1" w14:textId="5754C982" w:rsidR="00E32C50" w:rsidRPr="00EE3DAD" w:rsidRDefault="00E32C50" w:rsidP="00EE3DAD">
      <w:pPr>
        <w:rPr>
          <w:rFonts w:ascii="Arial" w:eastAsia="Times New Roman" w:hAnsi="Arial" w:cs="Arial"/>
          <w:sz w:val="20"/>
          <w:szCs w:val="20"/>
        </w:rPr>
      </w:pPr>
    </w:p>
    <w:p w14:paraId="72E078D6" w14:textId="23D81F64" w:rsidR="00EE3DAD" w:rsidRPr="00EE3DAD" w:rsidRDefault="00194831" w:rsidP="00EE3DAD">
      <w:pPr>
        <w:rPr>
          <w:rFonts w:ascii="Arial" w:eastAsia="Times New Roman" w:hAnsi="Arial" w:cs="Arial"/>
          <w:sz w:val="20"/>
          <w:szCs w:val="20"/>
        </w:rPr>
      </w:pPr>
      <w:r>
        <w:rPr>
          <w:rFonts w:ascii="Arial" w:eastAsia="Times New Roman" w:hAnsi="Arial" w:cs="Arial"/>
          <w:sz w:val="20"/>
          <w:szCs w:val="20"/>
        </w:rPr>
        <w:pict w14:anchorId="4C54C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188.75pt">
            <v:imagedata r:id="rId25" o:title="GRAF BC Index hypotecnich uveru - cerven 2021"/>
          </v:shape>
        </w:pict>
      </w:r>
    </w:p>
    <w:p w14:paraId="2888933E" w14:textId="77777777" w:rsidR="00EE3DAD" w:rsidRPr="00EE3DAD" w:rsidRDefault="00EE3DAD" w:rsidP="00EE3DAD">
      <w:pPr>
        <w:rPr>
          <w:rFonts w:ascii="Arial" w:eastAsia="Times New Roman" w:hAnsi="Arial" w:cs="Arial"/>
          <w:sz w:val="20"/>
          <w:szCs w:val="20"/>
        </w:rPr>
      </w:pPr>
    </w:p>
    <w:p w14:paraId="3E0539A0" w14:textId="77777777" w:rsidR="00E32C50" w:rsidRDefault="00E32C50" w:rsidP="00EE3DAD">
      <w:pPr>
        <w:rPr>
          <w:rFonts w:ascii="Arial" w:eastAsia="Times New Roman" w:hAnsi="Arial" w:cs="Arial"/>
          <w:b/>
          <w:sz w:val="20"/>
          <w:szCs w:val="20"/>
        </w:rPr>
      </w:pPr>
    </w:p>
    <w:p w14:paraId="1A8581C6" w14:textId="2BDFA68D" w:rsidR="00EE3DAD" w:rsidRPr="00EE3DAD" w:rsidRDefault="006B3CB5" w:rsidP="00EE3DAD">
      <w:pPr>
        <w:rPr>
          <w:rFonts w:ascii="Arial" w:eastAsia="Times New Roman" w:hAnsi="Arial" w:cs="Arial"/>
          <w:b/>
          <w:sz w:val="20"/>
          <w:szCs w:val="20"/>
        </w:rPr>
      </w:pPr>
      <w:r>
        <w:rPr>
          <w:rFonts w:ascii="Arial" w:eastAsia="Times New Roman" w:hAnsi="Arial" w:cs="Arial"/>
          <w:b/>
          <w:sz w:val="20"/>
          <w:szCs w:val="20"/>
        </w:rPr>
        <w:t xml:space="preserve">Broker Consulting </w:t>
      </w:r>
      <w:proofErr w:type="spellStart"/>
      <w:r w:rsidR="00A5429B">
        <w:rPr>
          <w:rFonts w:ascii="Arial" w:eastAsia="Times New Roman" w:hAnsi="Arial" w:cs="Arial"/>
          <w:b/>
          <w:sz w:val="20"/>
          <w:szCs w:val="20"/>
        </w:rPr>
        <w:t>FIXIndex</w:t>
      </w:r>
      <w:proofErr w:type="spellEnd"/>
    </w:p>
    <w:p w14:paraId="0ED05104" w14:textId="77777777" w:rsidR="00EE3DAD" w:rsidRPr="00EE3DAD" w:rsidRDefault="00EE3DAD" w:rsidP="00EE3DAD">
      <w:pPr>
        <w:rPr>
          <w:rFonts w:ascii="Arial" w:eastAsia="Times New Roman" w:hAnsi="Arial" w:cs="Arial"/>
          <w:sz w:val="20"/>
          <w:szCs w:val="20"/>
        </w:rPr>
      </w:pPr>
    </w:p>
    <w:p w14:paraId="16022BAD" w14:textId="680C805C" w:rsidR="00EE3DAD" w:rsidRDefault="00A5429B" w:rsidP="008957C5">
      <w:pPr>
        <w:jc w:val="both"/>
        <w:rPr>
          <w:rFonts w:ascii="Arial" w:hAnsi="Arial" w:cs="Arial"/>
          <w:b/>
          <w:sz w:val="20"/>
          <w:szCs w:val="20"/>
        </w:rPr>
      </w:pPr>
      <w:r>
        <w:rPr>
          <w:rFonts w:ascii="Arial" w:eastAsia="Times New Roman" w:hAnsi="Arial" w:cs="Arial"/>
          <w:sz w:val="20"/>
          <w:szCs w:val="20"/>
        </w:rPr>
        <w:t xml:space="preserve">Při pohledu </w:t>
      </w:r>
      <w:r w:rsidR="008957C5">
        <w:rPr>
          <w:rFonts w:ascii="Arial" w:eastAsia="Times New Roman" w:hAnsi="Arial" w:cs="Arial"/>
          <w:sz w:val="20"/>
          <w:szCs w:val="20"/>
        </w:rPr>
        <w:t>na vývoj fixací úrokových sazeb</w:t>
      </w:r>
      <w:r>
        <w:rPr>
          <w:rFonts w:ascii="Arial" w:eastAsia="Times New Roman" w:hAnsi="Arial" w:cs="Arial"/>
          <w:sz w:val="20"/>
          <w:szCs w:val="20"/>
        </w:rPr>
        <w:t xml:space="preserve"> lze říci, že </w:t>
      </w:r>
      <w:r w:rsidRPr="00EE3DAD">
        <w:rPr>
          <w:rFonts w:ascii="Arial" w:eastAsia="Times New Roman" w:hAnsi="Arial" w:cs="Arial"/>
          <w:sz w:val="20"/>
          <w:szCs w:val="20"/>
        </w:rPr>
        <w:t>se vše vrací do zaběhnutých kolejí</w:t>
      </w:r>
      <w:r>
        <w:rPr>
          <w:rFonts w:ascii="Arial" w:eastAsia="Times New Roman" w:hAnsi="Arial" w:cs="Arial"/>
          <w:sz w:val="20"/>
          <w:szCs w:val="20"/>
        </w:rPr>
        <w:t xml:space="preserve">. </w:t>
      </w:r>
      <w:r w:rsidR="008957C5">
        <w:rPr>
          <w:rFonts w:ascii="Arial" w:eastAsia="Times New Roman" w:hAnsi="Arial" w:cs="Arial"/>
          <w:sz w:val="20"/>
          <w:szCs w:val="20"/>
        </w:rPr>
        <w:t>Údaje</w:t>
      </w:r>
      <w:r w:rsidR="006B3CB5">
        <w:rPr>
          <w:rFonts w:ascii="Arial" w:eastAsia="Times New Roman" w:hAnsi="Arial" w:cs="Arial"/>
          <w:sz w:val="20"/>
          <w:szCs w:val="20"/>
        </w:rPr>
        <w:t xml:space="preserve"> </w:t>
      </w:r>
      <w:proofErr w:type="spellStart"/>
      <w:r w:rsidR="006B3CB5">
        <w:rPr>
          <w:rFonts w:ascii="Arial" w:eastAsia="Times New Roman" w:hAnsi="Arial" w:cs="Arial"/>
          <w:sz w:val="20"/>
          <w:szCs w:val="20"/>
        </w:rPr>
        <w:t>FIXIndexu</w:t>
      </w:r>
      <w:proofErr w:type="spellEnd"/>
      <w:r w:rsidR="006B3CB5">
        <w:rPr>
          <w:rFonts w:ascii="Arial" w:eastAsia="Times New Roman" w:hAnsi="Arial" w:cs="Arial"/>
          <w:sz w:val="20"/>
          <w:szCs w:val="20"/>
        </w:rPr>
        <w:t>, který sleduje, ja</w:t>
      </w:r>
      <w:r w:rsidR="00EE3DAD" w:rsidRPr="00EE3DAD">
        <w:rPr>
          <w:rFonts w:ascii="Arial" w:eastAsia="Times New Roman" w:hAnsi="Arial" w:cs="Arial"/>
          <w:sz w:val="20"/>
          <w:szCs w:val="20"/>
        </w:rPr>
        <w:t xml:space="preserve">ké fixace </w:t>
      </w:r>
      <w:r w:rsidR="006B3CB5">
        <w:rPr>
          <w:rFonts w:ascii="Arial" w:eastAsia="Times New Roman" w:hAnsi="Arial" w:cs="Arial"/>
          <w:sz w:val="20"/>
          <w:szCs w:val="20"/>
        </w:rPr>
        <w:t xml:space="preserve">úrokových sazeb </w:t>
      </w:r>
      <w:r w:rsidR="006B3CB5" w:rsidRPr="00EE3DAD">
        <w:rPr>
          <w:rFonts w:ascii="Arial" w:eastAsia="Times New Roman" w:hAnsi="Arial" w:cs="Arial"/>
          <w:sz w:val="20"/>
          <w:szCs w:val="20"/>
        </w:rPr>
        <w:t xml:space="preserve">klienti </w:t>
      </w:r>
      <w:r w:rsidR="00EE3DAD" w:rsidRPr="00EE3DAD">
        <w:rPr>
          <w:rFonts w:ascii="Arial" w:eastAsia="Times New Roman" w:hAnsi="Arial" w:cs="Arial"/>
          <w:sz w:val="20"/>
          <w:szCs w:val="20"/>
        </w:rPr>
        <w:t>reálně preferují</w:t>
      </w:r>
      <w:r w:rsidR="006B3CB5">
        <w:rPr>
          <w:rFonts w:ascii="Arial" w:eastAsia="Times New Roman" w:hAnsi="Arial" w:cs="Arial"/>
          <w:sz w:val="20"/>
          <w:szCs w:val="20"/>
        </w:rPr>
        <w:t xml:space="preserve">, ukazují, že na </w:t>
      </w:r>
      <w:r w:rsidR="00EE3DAD" w:rsidRPr="00EE3DAD">
        <w:rPr>
          <w:rFonts w:ascii="Arial" w:eastAsia="Times New Roman" w:hAnsi="Arial" w:cs="Arial"/>
          <w:sz w:val="20"/>
          <w:szCs w:val="20"/>
        </w:rPr>
        <w:t>celé čáře opět vede fixace na 5 let.</w:t>
      </w:r>
      <w:r w:rsidR="008957C5">
        <w:rPr>
          <w:rFonts w:ascii="Arial" w:eastAsia="Times New Roman" w:hAnsi="Arial" w:cs="Arial"/>
          <w:sz w:val="20"/>
          <w:szCs w:val="20"/>
        </w:rPr>
        <w:t xml:space="preserve"> Klienti ji </w:t>
      </w:r>
      <w:r w:rsidR="006212F9">
        <w:rPr>
          <w:rFonts w:ascii="Arial" w:eastAsia="Times New Roman" w:hAnsi="Arial" w:cs="Arial"/>
          <w:sz w:val="20"/>
          <w:szCs w:val="20"/>
        </w:rPr>
        <w:t xml:space="preserve">nyní </w:t>
      </w:r>
      <w:r w:rsidR="008957C5">
        <w:rPr>
          <w:rFonts w:ascii="Arial" w:eastAsia="Times New Roman" w:hAnsi="Arial" w:cs="Arial"/>
          <w:sz w:val="20"/>
          <w:szCs w:val="20"/>
        </w:rPr>
        <w:t xml:space="preserve">volí v 73 % případů. </w:t>
      </w:r>
      <w:r w:rsidR="00EE3DAD" w:rsidRPr="00EE3DAD">
        <w:rPr>
          <w:rFonts w:ascii="Arial" w:eastAsia="Times New Roman" w:hAnsi="Arial" w:cs="Arial"/>
          <w:sz w:val="20"/>
          <w:szCs w:val="20"/>
        </w:rPr>
        <w:t xml:space="preserve">V posledních letech </w:t>
      </w:r>
      <w:r w:rsidR="0058062A">
        <w:rPr>
          <w:rFonts w:ascii="Arial" w:eastAsia="Times New Roman" w:hAnsi="Arial" w:cs="Arial"/>
          <w:sz w:val="20"/>
          <w:szCs w:val="20"/>
        </w:rPr>
        <w:t xml:space="preserve">však </w:t>
      </w:r>
      <w:r w:rsidR="006B3CB5">
        <w:rPr>
          <w:rFonts w:ascii="Arial" w:eastAsia="Times New Roman" w:hAnsi="Arial" w:cs="Arial"/>
          <w:sz w:val="20"/>
          <w:szCs w:val="20"/>
        </w:rPr>
        <w:t>bylo možné sledovat</w:t>
      </w:r>
      <w:r w:rsidR="00EE3DAD" w:rsidRPr="00EE3DAD">
        <w:rPr>
          <w:rFonts w:ascii="Arial" w:eastAsia="Times New Roman" w:hAnsi="Arial" w:cs="Arial"/>
          <w:sz w:val="20"/>
          <w:szCs w:val="20"/>
        </w:rPr>
        <w:t xml:space="preserve"> stále rostoucí oblibu delších fixací na 7, 8 či 10 let. </w:t>
      </w:r>
      <w:r w:rsidR="006B3CB5">
        <w:rPr>
          <w:rFonts w:ascii="Arial" w:eastAsia="Times New Roman" w:hAnsi="Arial" w:cs="Arial"/>
          <w:sz w:val="20"/>
          <w:szCs w:val="20"/>
        </w:rPr>
        <w:t>Důvodem byla je</w:t>
      </w:r>
      <w:r w:rsidR="00EE3DAD" w:rsidRPr="00EE3DAD">
        <w:rPr>
          <w:rFonts w:ascii="Arial" w:eastAsia="Times New Roman" w:hAnsi="Arial" w:cs="Arial"/>
          <w:sz w:val="20"/>
          <w:szCs w:val="20"/>
        </w:rPr>
        <w:t xml:space="preserve">dnoznačně </w:t>
      </w:r>
      <w:r w:rsidR="006B3CB5">
        <w:rPr>
          <w:rFonts w:ascii="Arial" w:eastAsia="Times New Roman" w:hAnsi="Arial" w:cs="Arial"/>
          <w:sz w:val="20"/>
          <w:szCs w:val="20"/>
        </w:rPr>
        <w:t xml:space="preserve">jejich </w:t>
      </w:r>
      <w:r w:rsidR="00EE3DAD" w:rsidRPr="00EE3DAD">
        <w:rPr>
          <w:rFonts w:ascii="Arial" w:eastAsia="Times New Roman" w:hAnsi="Arial" w:cs="Arial"/>
          <w:sz w:val="20"/>
          <w:szCs w:val="20"/>
        </w:rPr>
        <w:t>velmi přízniv</w:t>
      </w:r>
      <w:r w:rsidR="006B3CB5">
        <w:rPr>
          <w:rFonts w:ascii="Arial" w:eastAsia="Times New Roman" w:hAnsi="Arial" w:cs="Arial"/>
          <w:sz w:val="20"/>
          <w:szCs w:val="20"/>
        </w:rPr>
        <w:t>á</w:t>
      </w:r>
      <w:r w:rsidR="00EE3DAD" w:rsidRPr="00EE3DAD">
        <w:rPr>
          <w:rFonts w:ascii="Arial" w:eastAsia="Times New Roman" w:hAnsi="Arial" w:cs="Arial"/>
          <w:sz w:val="20"/>
          <w:szCs w:val="20"/>
        </w:rPr>
        <w:t xml:space="preserve"> cen</w:t>
      </w:r>
      <w:r w:rsidR="006B3CB5">
        <w:rPr>
          <w:rFonts w:ascii="Arial" w:eastAsia="Times New Roman" w:hAnsi="Arial" w:cs="Arial"/>
          <w:sz w:val="20"/>
          <w:szCs w:val="20"/>
        </w:rPr>
        <w:t>a</w:t>
      </w:r>
      <w:r w:rsidR="00EE3DAD" w:rsidRPr="00EE3DAD">
        <w:rPr>
          <w:rFonts w:ascii="Arial" w:eastAsia="Times New Roman" w:hAnsi="Arial" w:cs="Arial"/>
          <w:sz w:val="20"/>
          <w:szCs w:val="20"/>
        </w:rPr>
        <w:t xml:space="preserve">, </w:t>
      </w:r>
      <w:r w:rsidR="008957C5">
        <w:rPr>
          <w:rFonts w:ascii="Arial" w:eastAsia="Times New Roman" w:hAnsi="Arial" w:cs="Arial"/>
          <w:sz w:val="20"/>
          <w:szCs w:val="20"/>
        </w:rPr>
        <w:t xml:space="preserve">neboť tyto </w:t>
      </w:r>
      <w:r w:rsidR="00EE3DAD" w:rsidRPr="00EE3DAD">
        <w:rPr>
          <w:rFonts w:ascii="Arial" w:eastAsia="Times New Roman" w:hAnsi="Arial" w:cs="Arial"/>
          <w:sz w:val="20"/>
          <w:szCs w:val="20"/>
        </w:rPr>
        <w:t xml:space="preserve">fixace byly prodávány za stejnou cenu jako fixace na 5 let. </w:t>
      </w:r>
      <w:r w:rsidR="006B3CB5">
        <w:rPr>
          <w:rFonts w:ascii="Arial" w:eastAsia="Times New Roman" w:hAnsi="Arial" w:cs="Arial"/>
          <w:sz w:val="20"/>
          <w:szCs w:val="20"/>
        </w:rPr>
        <w:t xml:space="preserve">Nyní se trend </w:t>
      </w:r>
      <w:r w:rsidR="00EE3DAD" w:rsidRPr="00EE3DAD">
        <w:rPr>
          <w:rFonts w:ascii="Arial" w:eastAsia="Times New Roman" w:hAnsi="Arial" w:cs="Arial"/>
          <w:sz w:val="20"/>
          <w:szCs w:val="20"/>
        </w:rPr>
        <w:t xml:space="preserve">postupně </w:t>
      </w:r>
      <w:r w:rsidR="008957C5">
        <w:rPr>
          <w:rFonts w:ascii="Arial" w:eastAsia="Times New Roman" w:hAnsi="Arial" w:cs="Arial"/>
          <w:sz w:val="20"/>
          <w:szCs w:val="20"/>
        </w:rPr>
        <w:t>vrací</w:t>
      </w:r>
      <w:r w:rsidR="00EE3DAD" w:rsidRPr="00EE3DAD">
        <w:rPr>
          <w:rFonts w:ascii="Arial" w:eastAsia="Times New Roman" w:hAnsi="Arial" w:cs="Arial"/>
          <w:sz w:val="20"/>
          <w:szCs w:val="20"/>
        </w:rPr>
        <w:t xml:space="preserve"> do normálu, </w:t>
      </w:r>
      <w:r w:rsidR="006B3CB5">
        <w:rPr>
          <w:rFonts w:ascii="Arial" w:eastAsia="Times New Roman" w:hAnsi="Arial" w:cs="Arial"/>
          <w:sz w:val="20"/>
          <w:szCs w:val="20"/>
        </w:rPr>
        <w:t>z</w:t>
      </w:r>
      <w:r w:rsidR="00EE3DAD" w:rsidRPr="00EE3DAD">
        <w:rPr>
          <w:rFonts w:ascii="Arial" w:eastAsia="Times New Roman" w:hAnsi="Arial" w:cs="Arial"/>
          <w:sz w:val="20"/>
          <w:szCs w:val="20"/>
        </w:rPr>
        <w:t xml:space="preserve">a delší fixace </w:t>
      </w:r>
      <w:r w:rsidR="006B3CB5">
        <w:rPr>
          <w:rFonts w:ascii="Arial" w:eastAsia="Times New Roman" w:hAnsi="Arial" w:cs="Arial"/>
          <w:sz w:val="20"/>
          <w:szCs w:val="20"/>
        </w:rPr>
        <w:t xml:space="preserve">si tak klienti opět připlatí. </w:t>
      </w:r>
      <w:r w:rsidR="006B3CB5" w:rsidRPr="006B3CB5">
        <w:rPr>
          <w:rFonts w:ascii="Arial" w:eastAsia="Times New Roman" w:hAnsi="Arial" w:cs="Arial"/>
          <w:i/>
          <w:sz w:val="20"/>
          <w:szCs w:val="20"/>
        </w:rPr>
        <w:t>„P</w:t>
      </w:r>
      <w:r w:rsidR="008957C5">
        <w:rPr>
          <w:rFonts w:ascii="Arial" w:eastAsia="Times New Roman" w:hAnsi="Arial" w:cs="Arial"/>
          <w:i/>
          <w:sz w:val="20"/>
          <w:szCs w:val="20"/>
        </w:rPr>
        <w:t>oměrně p</w:t>
      </w:r>
      <w:r w:rsidR="006B3CB5" w:rsidRPr="006B3CB5">
        <w:rPr>
          <w:rFonts w:ascii="Arial" w:eastAsia="Times New Roman" w:hAnsi="Arial" w:cs="Arial"/>
          <w:i/>
          <w:sz w:val="20"/>
          <w:szCs w:val="20"/>
        </w:rPr>
        <w:t>řekvapivé však je,</w:t>
      </w:r>
      <w:r w:rsidR="00EE3DAD" w:rsidRPr="006B3CB5">
        <w:rPr>
          <w:rFonts w:ascii="Arial" w:eastAsia="Times New Roman" w:hAnsi="Arial" w:cs="Arial"/>
          <w:i/>
          <w:sz w:val="20"/>
          <w:szCs w:val="20"/>
        </w:rPr>
        <w:t xml:space="preserve"> jak rychle a razantně 5letá fixace převážila. Ukazuje se tak, že Češi jsou velmi citliví na úrokovou sazbu</w:t>
      </w:r>
      <w:r w:rsidR="006B3CB5" w:rsidRPr="006B3CB5">
        <w:rPr>
          <w:rFonts w:ascii="Arial" w:eastAsia="Times New Roman" w:hAnsi="Arial" w:cs="Arial"/>
          <w:i/>
          <w:sz w:val="20"/>
          <w:szCs w:val="20"/>
        </w:rPr>
        <w:t>. J</w:t>
      </w:r>
      <w:r w:rsidR="00EE3DAD" w:rsidRPr="006B3CB5">
        <w:rPr>
          <w:rFonts w:ascii="Arial" w:eastAsia="Times New Roman" w:hAnsi="Arial" w:cs="Arial"/>
          <w:i/>
          <w:sz w:val="20"/>
          <w:szCs w:val="20"/>
        </w:rPr>
        <w:t xml:space="preserve">ednoduše řečeno </w:t>
      </w:r>
      <w:r w:rsidR="006B3CB5">
        <w:rPr>
          <w:rFonts w:ascii="Arial" w:eastAsia="Times New Roman" w:hAnsi="Arial" w:cs="Arial"/>
          <w:sz w:val="20"/>
          <w:szCs w:val="20"/>
        </w:rPr>
        <w:t>–</w:t>
      </w:r>
      <w:r w:rsidR="006B3CB5" w:rsidRPr="006B3CB5">
        <w:rPr>
          <w:rFonts w:ascii="Arial" w:eastAsia="Times New Roman" w:hAnsi="Arial" w:cs="Arial"/>
          <w:i/>
          <w:sz w:val="20"/>
          <w:szCs w:val="20"/>
        </w:rPr>
        <w:t xml:space="preserve"> </w:t>
      </w:r>
      <w:r w:rsidR="00EE3DAD" w:rsidRPr="006B3CB5">
        <w:rPr>
          <w:rFonts w:ascii="Arial" w:eastAsia="Times New Roman" w:hAnsi="Arial" w:cs="Arial"/>
          <w:i/>
          <w:sz w:val="20"/>
          <w:szCs w:val="20"/>
        </w:rPr>
        <w:t xml:space="preserve">chtějí mít </w:t>
      </w:r>
      <w:r w:rsidR="006B3CB5">
        <w:rPr>
          <w:rFonts w:ascii="Arial" w:eastAsia="Times New Roman" w:hAnsi="Arial" w:cs="Arial"/>
          <w:i/>
          <w:sz w:val="20"/>
          <w:szCs w:val="20"/>
        </w:rPr>
        <w:t xml:space="preserve">logicky </w:t>
      </w:r>
      <w:r w:rsidR="00EE3DAD" w:rsidRPr="006B3CB5">
        <w:rPr>
          <w:rFonts w:ascii="Arial" w:eastAsia="Times New Roman" w:hAnsi="Arial" w:cs="Arial"/>
          <w:i/>
          <w:sz w:val="20"/>
          <w:szCs w:val="20"/>
        </w:rPr>
        <w:t>co nejlepší sazbu</w:t>
      </w:r>
      <w:r w:rsidR="006B3CB5" w:rsidRPr="006B3CB5">
        <w:rPr>
          <w:rFonts w:ascii="Arial" w:eastAsia="Times New Roman" w:hAnsi="Arial" w:cs="Arial"/>
          <w:i/>
          <w:sz w:val="20"/>
          <w:szCs w:val="20"/>
        </w:rPr>
        <w:t>,“</w:t>
      </w:r>
      <w:r w:rsidR="006B3CB5">
        <w:rPr>
          <w:rFonts w:ascii="Arial" w:eastAsia="Times New Roman" w:hAnsi="Arial" w:cs="Arial"/>
          <w:sz w:val="20"/>
          <w:szCs w:val="20"/>
        </w:rPr>
        <w:t xml:space="preserve"> komentuje vývoj </w:t>
      </w:r>
      <w:proofErr w:type="spellStart"/>
      <w:r w:rsidR="006B3CB5">
        <w:rPr>
          <w:rFonts w:ascii="Arial" w:eastAsia="Times New Roman" w:hAnsi="Arial" w:cs="Arial"/>
          <w:sz w:val="20"/>
          <w:szCs w:val="20"/>
        </w:rPr>
        <w:t>FIXIndexu</w:t>
      </w:r>
      <w:proofErr w:type="spellEnd"/>
      <w:r w:rsidR="006B3CB5">
        <w:rPr>
          <w:rFonts w:ascii="Arial" w:eastAsia="Times New Roman" w:hAnsi="Arial" w:cs="Arial"/>
          <w:sz w:val="20"/>
          <w:szCs w:val="20"/>
        </w:rPr>
        <w:t xml:space="preserve"> Martin Novák. </w:t>
      </w:r>
    </w:p>
    <w:p w14:paraId="7FFF0E8B" w14:textId="77777777" w:rsidR="00EE3DAD" w:rsidRDefault="00EE3DAD" w:rsidP="00BB51F4">
      <w:pPr>
        <w:jc w:val="both"/>
        <w:rPr>
          <w:rFonts w:ascii="Arial" w:hAnsi="Arial" w:cs="Arial"/>
          <w:b/>
          <w:sz w:val="20"/>
          <w:szCs w:val="20"/>
        </w:rPr>
      </w:pPr>
    </w:p>
    <w:p w14:paraId="4B8B73D2" w14:textId="3BA8FF89" w:rsidR="00CC0CB0" w:rsidRPr="00E32C50" w:rsidRDefault="00CC0CB0" w:rsidP="00903020">
      <w:pPr>
        <w:ind w:left="-142"/>
        <w:rPr>
          <w:rFonts w:ascii="Arial" w:hAnsi="Arial" w:cs="Arial"/>
          <w:i/>
          <w:sz w:val="20"/>
          <w:szCs w:val="20"/>
        </w:rPr>
      </w:pPr>
    </w:p>
    <w:p w14:paraId="5D6003B5" w14:textId="2940CD5E" w:rsidR="00E32C50" w:rsidRPr="00E32C50" w:rsidRDefault="00E32C50" w:rsidP="008957C5">
      <w:pPr>
        <w:rPr>
          <w:rFonts w:ascii="Arial" w:hAnsi="Arial" w:cs="Arial"/>
          <w:i/>
          <w:sz w:val="20"/>
          <w:szCs w:val="20"/>
        </w:rPr>
      </w:pPr>
      <w:r w:rsidRPr="008957C5">
        <w:rPr>
          <w:rFonts w:ascii="Arial" w:hAnsi="Arial" w:cs="Arial"/>
          <w:b/>
          <w:i/>
          <w:sz w:val="20"/>
          <w:szCs w:val="20"/>
        </w:rPr>
        <w:t>POZN.:</w:t>
      </w:r>
      <w:r w:rsidRPr="00E32C50">
        <w:rPr>
          <w:rFonts w:ascii="Arial" w:hAnsi="Arial" w:cs="Arial"/>
          <w:i/>
          <w:sz w:val="20"/>
          <w:szCs w:val="20"/>
        </w:rPr>
        <w:t xml:space="preserve"> Graf </w:t>
      </w:r>
      <w:proofErr w:type="spellStart"/>
      <w:r w:rsidRPr="00E32C50">
        <w:rPr>
          <w:rFonts w:ascii="Arial" w:hAnsi="Arial" w:cs="Arial"/>
          <w:i/>
          <w:sz w:val="20"/>
          <w:szCs w:val="20"/>
        </w:rPr>
        <w:t>FIXIndexu</w:t>
      </w:r>
      <w:proofErr w:type="spellEnd"/>
      <w:r w:rsidRPr="00E32C50">
        <w:rPr>
          <w:rFonts w:ascii="Arial" w:hAnsi="Arial" w:cs="Arial"/>
          <w:i/>
          <w:sz w:val="20"/>
          <w:szCs w:val="20"/>
        </w:rPr>
        <w:t xml:space="preserve"> je k dispozici na následující straně</w:t>
      </w:r>
    </w:p>
    <w:p w14:paraId="0F43D485" w14:textId="7E8BB9F0" w:rsidR="008957C5" w:rsidRDefault="008957C5" w:rsidP="008957C5">
      <w:pPr>
        <w:jc w:val="center"/>
        <w:rPr>
          <w:rFonts w:ascii="Arial" w:hAnsi="Arial" w:cs="Arial"/>
          <w:b/>
          <w:sz w:val="18"/>
          <w:szCs w:val="16"/>
        </w:rPr>
      </w:pPr>
    </w:p>
    <w:p w14:paraId="19F564F0" w14:textId="245C981A" w:rsidR="002B6F4E" w:rsidRDefault="00194831" w:rsidP="008957C5">
      <w:pPr>
        <w:jc w:val="center"/>
        <w:rPr>
          <w:rFonts w:ascii="Arial" w:hAnsi="Arial" w:cs="Arial"/>
          <w:b/>
          <w:sz w:val="18"/>
          <w:szCs w:val="16"/>
        </w:rPr>
      </w:pPr>
      <w:r>
        <w:rPr>
          <w:rFonts w:ascii="Arial" w:hAnsi="Arial" w:cs="Arial"/>
          <w:b/>
          <w:sz w:val="18"/>
          <w:szCs w:val="16"/>
        </w:rPr>
        <w:lastRenderedPageBreak/>
        <w:pict w14:anchorId="461D76CD">
          <v:shape id="_x0000_i1026" type="#_x0000_t75" style="width:446.2pt;height:239.45pt">
            <v:imagedata r:id="rId26" o:title="GRAF BC FIXIndex - cerven 2021"/>
          </v:shape>
        </w:pict>
      </w:r>
    </w:p>
    <w:p w14:paraId="6F4AD1B9" w14:textId="383CB933" w:rsidR="008957C5" w:rsidRDefault="008957C5" w:rsidP="00435115">
      <w:pPr>
        <w:rPr>
          <w:rFonts w:ascii="Arial" w:hAnsi="Arial" w:cs="Arial"/>
          <w:b/>
          <w:sz w:val="18"/>
          <w:szCs w:val="16"/>
        </w:rPr>
      </w:pPr>
    </w:p>
    <w:p w14:paraId="0C99ACED" w14:textId="77777777" w:rsidR="008957C5" w:rsidRDefault="008957C5" w:rsidP="00435115">
      <w:pPr>
        <w:rPr>
          <w:rFonts w:ascii="Arial" w:hAnsi="Arial" w:cs="Arial"/>
          <w:b/>
          <w:sz w:val="18"/>
          <w:szCs w:val="16"/>
        </w:rPr>
      </w:pPr>
    </w:p>
    <w:p w14:paraId="0EB712C0" w14:textId="526106B3" w:rsidR="00977B41" w:rsidRPr="00435115" w:rsidRDefault="00B37F41" w:rsidP="00435115">
      <w:pPr>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index</w:t>
      </w:r>
      <w:r w:rsidRPr="0013512D">
        <w:rPr>
          <w:rFonts w:ascii="Arial" w:hAnsi="Arial" w:cs="Arial"/>
          <w:i/>
          <w:color w:val="1D1D1B"/>
          <w:w w:val="105"/>
          <w:sz w:val="18"/>
          <w:szCs w:val="16"/>
        </w:rPr>
        <w:t xml:space="preserve"> </w:t>
      </w:r>
      <w:r w:rsidRPr="00B244B9">
        <w:rPr>
          <w:rFonts w:ascii="Arial" w:hAnsi="Arial" w:cs="Arial"/>
          <w:i/>
          <w:color w:val="1D1D1B"/>
          <w:w w:val="105"/>
          <w:sz w:val="18"/>
          <w:szCs w:val="16"/>
        </w:rPr>
        <w:t>hypot</w:t>
      </w:r>
      <w:r w:rsidR="00830CE8">
        <w:rPr>
          <w:rFonts w:ascii="Arial" w:hAnsi="Arial" w:cs="Arial"/>
          <w:i/>
          <w:color w:val="1D1D1B"/>
          <w:w w:val="105"/>
          <w:sz w:val="18"/>
          <w:szCs w:val="16"/>
        </w:rPr>
        <w:t>e</w:t>
      </w:r>
      <w:r w:rsidRPr="00B244B9">
        <w:rPr>
          <w:rFonts w:ascii="Arial" w:hAnsi="Arial" w:cs="Arial"/>
          <w:i/>
          <w:color w:val="1D1D1B"/>
          <w:w w:val="105"/>
          <w:sz w:val="18"/>
          <w:szCs w:val="16"/>
        </w:rPr>
        <w:t>ční</w:t>
      </w:r>
      <w:r>
        <w:rPr>
          <w:rFonts w:ascii="Arial" w:hAnsi="Arial" w:cs="Arial"/>
          <w:i/>
          <w:color w:val="1D1D1B"/>
          <w:w w:val="105"/>
          <w:sz w:val="18"/>
          <w:szCs w:val="16"/>
        </w:rPr>
        <w:t>ch úvěrů</w:t>
      </w:r>
      <w:r w:rsidRPr="00B244B9">
        <w:rPr>
          <w:rFonts w:ascii="Arial" w:hAnsi="Arial" w:cs="Arial"/>
          <w:i/>
          <w:color w:val="1D1D1B"/>
          <w:w w:val="105"/>
          <w:sz w:val="18"/>
          <w:szCs w:val="16"/>
        </w:rPr>
        <w:t xml:space="preserve">). Více informací najdete též na webu </w:t>
      </w:r>
      <w:r w:rsidRPr="0013512D">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4537B8D6" w14:textId="77777777" w:rsidR="00977B41" w:rsidRDefault="00977B41" w:rsidP="0073009C">
      <w:pPr>
        <w:jc w:val="both"/>
        <w:rPr>
          <w:rFonts w:ascii="Arial" w:hAnsi="Arial" w:cs="Arial"/>
          <w:b/>
          <w:sz w:val="18"/>
          <w:szCs w:val="20"/>
        </w:rPr>
      </w:pPr>
    </w:p>
    <w:p w14:paraId="01530127" w14:textId="77777777" w:rsidR="00D73F33" w:rsidRDefault="00D73F33" w:rsidP="0073009C">
      <w:pPr>
        <w:jc w:val="both"/>
        <w:rPr>
          <w:rFonts w:ascii="Arial" w:hAnsi="Arial" w:cs="Arial"/>
          <w:b/>
          <w:sz w:val="18"/>
          <w:szCs w:val="20"/>
        </w:rPr>
      </w:pPr>
    </w:p>
    <w:p w14:paraId="7DF3747A" w14:textId="21E317EA" w:rsidR="00B37F41" w:rsidRPr="00C222E1" w:rsidRDefault="00B37F41" w:rsidP="0073009C">
      <w:pPr>
        <w:jc w:val="both"/>
        <w:rPr>
          <w:rFonts w:ascii="Arial" w:hAnsi="Arial" w:cs="Arial"/>
          <w:sz w:val="18"/>
          <w:szCs w:val="20"/>
        </w:rPr>
      </w:pPr>
      <w:r w:rsidRPr="00DC49D5">
        <w:rPr>
          <w:rFonts w:ascii="Arial" w:hAnsi="Arial" w:cs="Arial"/>
          <w:b/>
          <w:sz w:val="18"/>
          <w:szCs w:val="20"/>
        </w:rPr>
        <w:t>Broker Consulting Index hypot</w:t>
      </w:r>
      <w:r>
        <w:rPr>
          <w:rFonts w:ascii="Arial" w:hAnsi="Arial" w:cs="Arial"/>
          <w:b/>
          <w:sz w:val="18"/>
          <w:szCs w:val="20"/>
        </w:rPr>
        <w:t>e</w:t>
      </w:r>
      <w:r w:rsidRPr="00DC49D5">
        <w:rPr>
          <w:rFonts w:ascii="Arial" w:hAnsi="Arial" w:cs="Arial"/>
          <w:b/>
          <w:sz w:val="18"/>
          <w:szCs w:val="20"/>
        </w:rPr>
        <w:t>čních úvěrů</w:t>
      </w:r>
      <w:r w:rsidRPr="00C222E1">
        <w:rPr>
          <w:rFonts w:ascii="Arial" w:hAnsi="Arial" w:cs="Arial"/>
          <w:sz w:val="18"/>
          <w:szCs w:val="20"/>
        </w:rPr>
        <w:t xml:space="preserve"> je analytický nástroj, který ukazuje p</w:t>
      </w:r>
      <w:r w:rsidR="00830CE8">
        <w:rPr>
          <w:rFonts w:ascii="Arial" w:hAnsi="Arial" w:cs="Arial"/>
          <w:sz w:val="18"/>
          <w:szCs w:val="20"/>
        </w:rPr>
        <w:t>růměrnou úrokovou sazbu u hypote</w:t>
      </w:r>
      <w:r w:rsidRPr="00C222E1">
        <w:rPr>
          <w:rFonts w:ascii="Arial" w:hAnsi="Arial" w:cs="Arial"/>
          <w:sz w:val="18"/>
          <w:szCs w:val="20"/>
        </w:rPr>
        <w:t>čních úvěrů, jež zprostředkovali konzultanti Broker Consulting a pobočky OK POINT u kteréhokoli poskytovatele hypotečních úvěrů. Jedná se o vážený aritmetický průměr, kdy hlavní vahou je objem úvěru. Tedy čím vyšší úvěr, tím jeho sazba do indexu vstupuje větší vahou. Výhodou metody výpočtu je skutečnost, že se do statistiky dostávají pouze skutečně schválené úvěry</w:t>
      </w:r>
      <w:r w:rsidR="00F84A4F">
        <w:rPr>
          <w:rFonts w:ascii="Arial" w:hAnsi="Arial" w:cs="Arial"/>
          <w:sz w:val="18"/>
          <w:szCs w:val="20"/>
        </w:rPr>
        <w:t>,</w:t>
      </w:r>
      <w:r w:rsidRPr="00C222E1">
        <w:rPr>
          <w:rFonts w:ascii="Arial" w:hAnsi="Arial" w:cs="Arial"/>
          <w:sz w:val="18"/>
          <w:szCs w:val="20"/>
        </w:rPr>
        <w:t xml:space="preserve"> a to bez výjimky všechny. </w:t>
      </w:r>
      <w:r w:rsidR="00830CE8">
        <w:rPr>
          <w:rFonts w:ascii="Arial" w:hAnsi="Arial" w:cs="Arial"/>
          <w:sz w:val="18"/>
          <w:szCs w:val="20"/>
        </w:rPr>
        <w:t xml:space="preserve"> </w:t>
      </w:r>
      <w:r w:rsidRPr="00C222E1">
        <w:rPr>
          <w:rFonts w:ascii="Arial" w:hAnsi="Arial" w:cs="Arial"/>
          <w:sz w:val="18"/>
          <w:szCs w:val="20"/>
        </w:rPr>
        <w:t xml:space="preserve">Nemůže </w:t>
      </w:r>
      <w:r w:rsidR="00F84A4F">
        <w:rPr>
          <w:rFonts w:ascii="Arial" w:hAnsi="Arial" w:cs="Arial"/>
          <w:sz w:val="18"/>
          <w:szCs w:val="20"/>
        </w:rPr>
        <w:t xml:space="preserve">tak </w:t>
      </w:r>
      <w:r w:rsidRPr="00C222E1">
        <w:rPr>
          <w:rFonts w:ascii="Arial" w:hAnsi="Arial" w:cs="Arial"/>
          <w:sz w:val="18"/>
          <w:szCs w:val="20"/>
        </w:rPr>
        <w:t xml:space="preserve">dojít ke zkreslení informací a index není závislý na dodávkách třetích stran. V principu se index počítá ze sazeb, které jsou v danou chvíli pro daného klienta nejnižší na trhu nebo se nejnižší hranici přibližují, neboť klient si vybírá z mnoha možností, které mu trh v danou chvíli nabízí. A většinou si vybírá právě nejnižší sazbu úvěru, který i v jiných parametrech splňuje jejich podmínky. Broker Consulting ročně zprostředkuje úvěry v objemu </w:t>
      </w:r>
      <w:r w:rsidR="004B64B3">
        <w:rPr>
          <w:rFonts w:ascii="Arial" w:hAnsi="Arial" w:cs="Arial"/>
          <w:sz w:val="18"/>
          <w:szCs w:val="20"/>
        </w:rPr>
        <w:t xml:space="preserve">přesahujícím 13 miliard </w:t>
      </w:r>
      <w:r w:rsidRPr="00C222E1">
        <w:rPr>
          <w:rFonts w:ascii="Arial" w:hAnsi="Arial" w:cs="Arial"/>
          <w:sz w:val="18"/>
          <w:szCs w:val="20"/>
        </w:rPr>
        <w:t xml:space="preserve">korun. </w:t>
      </w:r>
    </w:p>
    <w:p w14:paraId="3047FCF7" w14:textId="30DEE248" w:rsidR="00833A44" w:rsidRDefault="00833A44" w:rsidP="00B27178">
      <w:pPr>
        <w:jc w:val="both"/>
      </w:pPr>
    </w:p>
    <w:p w14:paraId="719BA63E" w14:textId="7D9C60DA" w:rsidR="00B37F41" w:rsidRPr="008957C5" w:rsidRDefault="008957C5" w:rsidP="00B27178">
      <w:pPr>
        <w:jc w:val="both"/>
        <w:rPr>
          <w:rFonts w:ascii="Arial" w:hAnsi="Arial" w:cs="Arial"/>
          <w:sz w:val="18"/>
          <w:szCs w:val="20"/>
        </w:rPr>
      </w:pPr>
      <w:r w:rsidRPr="008957C5">
        <w:rPr>
          <w:rFonts w:ascii="Arial" w:hAnsi="Arial" w:cs="Arial"/>
          <w:b/>
          <w:sz w:val="18"/>
          <w:szCs w:val="20"/>
        </w:rPr>
        <w:t xml:space="preserve">Broker Consulting </w:t>
      </w:r>
      <w:proofErr w:type="spellStart"/>
      <w:r w:rsidRPr="008957C5">
        <w:rPr>
          <w:rFonts w:ascii="Arial" w:hAnsi="Arial" w:cs="Arial"/>
          <w:b/>
          <w:sz w:val="18"/>
          <w:szCs w:val="20"/>
        </w:rPr>
        <w:t>FIXIndex</w:t>
      </w:r>
      <w:proofErr w:type="spellEnd"/>
      <w:r w:rsidRPr="008957C5">
        <w:rPr>
          <w:rFonts w:ascii="Arial" w:hAnsi="Arial" w:cs="Arial"/>
          <w:sz w:val="18"/>
          <w:szCs w:val="20"/>
        </w:rPr>
        <w:t xml:space="preserve"> je analytický nástroj, který sleduje, jakou měrou jsou jednotlivé fixace úrokových sazeb (na 3, 5, 7 a 10 let) zastoupeny v celkovém objemu hypotečních úvěrů</w:t>
      </w:r>
      <w:r>
        <w:rPr>
          <w:rFonts w:ascii="Arial" w:hAnsi="Arial" w:cs="Arial"/>
          <w:sz w:val="18"/>
          <w:szCs w:val="20"/>
        </w:rPr>
        <w:t>.</w:t>
      </w:r>
      <w:r w:rsidRPr="008957C5">
        <w:rPr>
          <w:rFonts w:ascii="Arial" w:hAnsi="Arial" w:cs="Arial"/>
          <w:sz w:val="18"/>
          <w:szCs w:val="20"/>
        </w:rPr>
        <w:t xml:space="preserve"> </w:t>
      </w:r>
      <w:proofErr w:type="spellStart"/>
      <w:r w:rsidRPr="008957C5">
        <w:rPr>
          <w:rFonts w:ascii="Arial" w:hAnsi="Arial" w:cs="Arial"/>
          <w:sz w:val="18"/>
          <w:szCs w:val="20"/>
        </w:rPr>
        <w:t>FIXIndex</w:t>
      </w:r>
      <w:proofErr w:type="spellEnd"/>
      <w:r w:rsidRPr="008957C5">
        <w:rPr>
          <w:rFonts w:ascii="Arial" w:hAnsi="Arial" w:cs="Arial"/>
          <w:sz w:val="18"/>
          <w:szCs w:val="20"/>
        </w:rPr>
        <w:t xml:space="preserve"> tedy názorně ukazuje, jaké fixace jsou u klientů nejžádanější.</w:t>
      </w:r>
    </w:p>
    <w:p w14:paraId="3371DDD3" w14:textId="77777777" w:rsidR="00B37F41" w:rsidRPr="0025264B" w:rsidRDefault="00B37F41" w:rsidP="00B27178">
      <w:pPr>
        <w:jc w:val="both"/>
      </w:pPr>
    </w:p>
    <w:p w14:paraId="58F041AC" w14:textId="4EDC3CAC" w:rsidR="00692610" w:rsidRPr="00D60D98" w:rsidRDefault="00692610" w:rsidP="00B27178">
      <w:pPr>
        <w:jc w:val="both"/>
        <w:rPr>
          <w:rFonts w:ascii="Arial" w:eastAsia="Calibri" w:hAnsi="Arial" w:cs="Arial"/>
          <w:b/>
          <w:bCs/>
          <w:noProof/>
          <w:sz w:val="20"/>
          <w:szCs w:val="20"/>
        </w:rPr>
      </w:pPr>
    </w:p>
    <w:p w14:paraId="7C1907C0" w14:textId="1D2EC938" w:rsidR="00D60D98" w:rsidRPr="0073009C" w:rsidRDefault="00D60D98" w:rsidP="00D60D98">
      <w:pPr>
        <w:rPr>
          <w:rFonts w:ascii="Arial" w:eastAsia="Calibri" w:hAnsi="Arial" w:cs="Arial"/>
          <w:b/>
          <w:bCs/>
          <w:noProof/>
          <w:sz w:val="18"/>
          <w:szCs w:val="18"/>
        </w:rPr>
      </w:pPr>
      <w:r w:rsidRPr="0073009C">
        <w:rPr>
          <w:rFonts w:ascii="Arial" w:eastAsia="Calibri" w:hAnsi="Arial" w:cs="Arial"/>
          <w:b/>
          <w:bCs/>
          <w:noProof/>
          <w:sz w:val="18"/>
          <w:szCs w:val="18"/>
        </w:rPr>
        <w:t>Kontakt pro média:</w:t>
      </w:r>
    </w:p>
    <w:p w14:paraId="090F1F41" w14:textId="2F88DEFA" w:rsidR="00B37F41" w:rsidRPr="0073009C" w:rsidRDefault="00B37F41" w:rsidP="00D60D98">
      <w:pPr>
        <w:rPr>
          <w:rFonts w:ascii="Arial" w:eastAsia="Calibri" w:hAnsi="Arial" w:cs="Arial"/>
          <w:bCs/>
          <w:noProof/>
          <w:sz w:val="18"/>
          <w:szCs w:val="18"/>
        </w:rPr>
      </w:pPr>
    </w:p>
    <w:p w14:paraId="459105C8" w14:textId="77777777" w:rsidR="00692610" w:rsidRPr="0073009C" w:rsidRDefault="00692610" w:rsidP="00692610">
      <w:pPr>
        <w:rPr>
          <w:rFonts w:ascii="Arial" w:eastAsia="Calibri" w:hAnsi="Arial" w:cs="Arial"/>
          <w:bCs/>
          <w:noProof/>
          <w:sz w:val="18"/>
          <w:szCs w:val="18"/>
          <w:lang w:bidi="ar-SA"/>
        </w:rPr>
      </w:pPr>
      <w:r w:rsidRPr="0073009C">
        <w:rPr>
          <w:rFonts w:ascii="Arial" w:eastAsia="Calibri" w:hAnsi="Arial" w:cs="Arial"/>
          <w:bCs/>
          <w:noProof/>
          <w:sz w:val="18"/>
          <w:szCs w:val="18"/>
        </w:rPr>
        <w:t>Tereza Kunová</w:t>
      </w:r>
    </w:p>
    <w:p w14:paraId="679794E2"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Specialistka PR a externí komunikace</w:t>
      </w:r>
    </w:p>
    <w:p w14:paraId="3D378A07"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Mobil: +420 731 537 716</w:t>
      </w:r>
    </w:p>
    <w:p w14:paraId="16B705EA" w14:textId="77777777" w:rsidR="00692610" w:rsidRPr="0073009C" w:rsidRDefault="00692610" w:rsidP="00692610">
      <w:pPr>
        <w:rPr>
          <w:rFonts w:ascii="Arial" w:eastAsia="Calibri" w:hAnsi="Arial" w:cs="Arial"/>
          <w:noProof/>
          <w:sz w:val="18"/>
          <w:szCs w:val="18"/>
        </w:rPr>
      </w:pPr>
      <w:r w:rsidRPr="0073009C">
        <w:rPr>
          <w:rFonts w:ascii="Arial" w:eastAsia="Calibri" w:hAnsi="Arial" w:cs="Arial"/>
          <w:noProof/>
          <w:sz w:val="18"/>
          <w:szCs w:val="18"/>
        </w:rPr>
        <w:t xml:space="preserve">E-mail: </w:t>
      </w:r>
      <w:hyperlink r:id="rId27" w:history="1">
        <w:r w:rsidRPr="0073009C">
          <w:rPr>
            <w:rStyle w:val="Hypertextovodkaz"/>
            <w:rFonts w:ascii="Arial" w:eastAsia="Calibri" w:hAnsi="Arial" w:cs="Arial"/>
            <w:noProof/>
            <w:sz w:val="18"/>
            <w:szCs w:val="18"/>
          </w:rPr>
          <w:t>tereza.kunova@bcas.cz</w:t>
        </w:r>
      </w:hyperlink>
      <w:r w:rsidRPr="0073009C">
        <w:rPr>
          <w:rFonts w:ascii="Arial" w:eastAsia="Calibri" w:hAnsi="Arial" w:cs="Arial"/>
          <w:noProof/>
          <w:sz w:val="18"/>
          <w:szCs w:val="18"/>
        </w:rPr>
        <w:t xml:space="preserve"> </w:t>
      </w:r>
    </w:p>
    <w:p w14:paraId="066A8D8C" w14:textId="77777777" w:rsidR="00692610" w:rsidRPr="0073009C" w:rsidRDefault="00692610" w:rsidP="00692610">
      <w:pPr>
        <w:rPr>
          <w:rFonts w:ascii="Arial" w:eastAsia="Calibri" w:hAnsi="Arial" w:cs="Arial"/>
          <w:bCs/>
          <w:noProof/>
          <w:sz w:val="18"/>
          <w:szCs w:val="18"/>
        </w:rPr>
      </w:pPr>
    </w:p>
    <w:p w14:paraId="025F1B2F" w14:textId="70837378" w:rsidR="00D60D98" w:rsidRPr="002B2A94" w:rsidRDefault="00D60D98" w:rsidP="002B2A94">
      <w:pPr>
        <w:rPr>
          <w:rFonts w:ascii="Arial" w:eastAsia="Calibri" w:hAnsi="Arial" w:cs="Arial"/>
          <w:b/>
          <w:bCs/>
          <w:noProof/>
          <w:sz w:val="18"/>
          <w:szCs w:val="18"/>
          <w:lang w:bidi="ar-SA"/>
        </w:rPr>
      </w:pPr>
    </w:p>
    <w:sectPr w:rsidR="00D60D98" w:rsidRPr="002B2A94" w:rsidSect="001675AF">
      <w:type w:val="continuous"/>
      <w:pgSz w:w="11910" w:h="16840"/>
      <w:pgMar w:top="960" w:right="740" w:bottom="2127" w:left="720" w:header="708" w:footer="1136" w:gutter="0"/>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66332" w16cex:dateUtc="2021-05-12T12:22:00Z"/>
  <w16cex:commentExtensible w16cex:durableId="244663CA" w16cex:dateUtc="2021-05-12T12:25:00Z"/>
  <w16cex:commentExtensible w16cex:durableId="244663FE" w16cex:dateUtc="2021-05-12T12:26:00Z"/>
  <w16cex:commentExtensible w16cex:durableId="2446640F" w16cex:dateUtc="2021-05-12T12:26:00Z"/>
  <w16cex:commentExtensible w16cex:durableId="24466467" w16cex:dateUtc="2021-05-12T12:27:00Z"/>
  <w16cex:commentExtensible w16cex:durableId="244664CD" w16cex:dateUtc="2021-05-12T12:29:00Z"/>
  <w16cex:commentExtensible w16cex:durableId="24466562" w16cex:dateUtc="2021-05-12T12:32:00Z"/>
  <w16cex:commentExtensible w16cex:durableId="24466590" w16cex:dateUtc="2021-05-12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1C0C29" w16cid:durableId="24466332"/>
  <w16cid:commentId w16cid:paraId="6E758CA0" w16cid:durableId="244663CA"/>
  <w16cid:commentId w16cid:paraId="682081AB" w16cid:durableId="244663FE"/>
  <w16cid:commentId w16cid:paraId="15737A89" w16cid:durableId="2446640F"/>
  <w16cid:commentId w16cid:paraId="704D4E12" w16cid:durableId="24466467"/>
  <w16cid:commentId w16cid:paraId="4EE48CFB" w16cid:durableId="244664CD"/>
  <w16cid:commentId w16cid:paraId="6A8E62A2" w16cid:durableId="24466562"/>
  <w16cid:commentId w16cid:paraId="76876CCC" w16cid:durableId="244665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78051" w14:textId="77777777" w:rsidR="00BD6E76" w:rsidRDefault="00BD6E76">
      <w:r>
        <w:separator/>
      </w:r>
    </w:p>
  </w:endnote>
  <w:endnote w:type="continuationSeparator" w:id="0">
    <w:p w14:paraId="15F0AB94" w14:textId="77777777" w:rsidR="00BD6E76" w:rsidRDefault="00BD6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BD6E76"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340E70"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BD6E76"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340E70"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BD6E76"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340E70"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2F2228" w14:textId="77777777" w:rsidR="00BD6E76" w:rsidRDefault="00BD6E76">
      <w:r>
        <w:separator/>
      </w:r>
    </w:p>
  </w:footnote>
  <w:footnote w:type="continuationSeparator" w:id="0">
    <w:p w14:paraId="250D4AFF" w14:textId="77777777" w:rsidR="00BD6E76" w:rsidRDefault="00BD6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13C6914A" w:rsidR="00B65A3B" w:rsidRDefault="009F2CEE" w:rsidP="009F2CEE">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Pr>
        <w:rFonts w:ascii="Arial" w:hAnsi="Arial" w:cs="Arial"/>
        <w:color w:val="E52713"/>
        <w:sz w:val="28"/>
        <w:szCs w:val="28"/>
      </w:rPr>
      <w:t>PODÍLOVÝCH FONDŮ</w:t>
    </w:r>
  </w:p>
  <w:p w14:paraId="43C085E5" w14:textId="77777777" w:rsidR="000F4B6C" w:rsidRPr="00B65A3B" w:rsidRDefault="000F4B6C" w:rsidP="009F2CEE">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00A33F2F"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 xml:space="preserve">INDEX </w:t>
    </w:r>
    <w:r w:rsidR="002A1185">
      <w:rPr>
        <w:rFonts w:ascii="Arial" w:hAnsi="Arial" w:cs="Arial"/>
        <w:color w:val="E52713"/>
        <w:sz w:val="28"/>
        <w:szCs w:val="28"/>
      </w:rPr>
      <w:t>HYPOTEČNÍCH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14FB5"/>
    <w:rsid w:val="00020EC7"/>
    <w:rsid w:val="00026F23"/>
    <w:rsid w:val="000277AC"/>
    <w:rsid w:val="0003028F"/>
    <w:rsid w:val="00032D94"/>
    <w:rsid w:val="000374D7"/>
    <w:rsid w:val="00037DAF"/>
    <w:rsid w:val="000400E4"/>
    <w:rsid w:val="00045D86"/>
    <w:rsid w:val="0005423A"/>
    <w:rsid w:val="000611E3"/>
    <w:rsid w:val="000766E7"/>
    <w:rsid w:val="00081616"/>
    <w:rsid w:val="000851AC"/>
    <w:rsid w:val="000853D4"/>
    <w:rsid w:val="00096425"/>
    <w:rsid w:val="0009776B"/>
    <w:rsid w:val="000B187C"/>
    <w:rsid w:val="000D14E2"/>
    <w:rsid w:val="000D7158"/>
    <w:rsid w:val="000E01C2"/>
    <w:rsid w:val="000E3D86"/>
    <w:rsid w:val="000E6E14"/>
    <w:rsid w:val="000F4B6C"/>
    <w:rsid w:val="000F6249"/>
    <w:rsid w:val="001117DE"/>
    <w:rsid w:val="00111C28"/>
    <w:rsid w:val="0013044E"/>
    <w:rsid w:val="00131A69"/>
    <w:rsid w:val="00136D8D"/>
    <w:rsid w:val="00137003"/>
    <w:rsid w:val="0013717C"/>
    <w:rsid w:val="00140987"/>
    <w:rsid w:val="001524FB"/>
    <w:rsid w:val="00156082"/>
    <w:rsid w:val="00160686"/>
    <w:rsid w:val="001675AF"/>
    <w:rsid w:val="001767A5"/>
    <w:rsid w:val="00192716"/>
    <w:rsid w:val="00194831"/>
    <w:rsid w:val="001A1A56"/>
    <w:rsid w:val="001A2D08"/>
    <w:rsid w:val="001A54DD"/>
    <w:rsid w:val="001B501B"/>
    <w:rsid w:val="001D015A"/>
    <w:rsid w:val="001D3DFC"/>
    <w:rsid w:val="001D5EFC"/>
    <w:rsid w:val="001E4209"/>
    <w:rsid w:val="001F7194"/>
    <w:rsid w:val="001F71BA"/>
    <w:rsid w:val="0020207A"/>
    <w:rsid w:val="002141AF"/>
    <w:rsid w:val="00220529"/>
    <w:rsid w:val="00224AF1"/>
    <w:rsid w:val="00224E6E"/>
    <w:rsid w:val="002368F3"/>
    <w:rsid w:val="00241313"/>
    <w:rsid w:val="0024212A"/>
    <w:rsid w:val="0025080B"/>
    <w:rsid w:val="0025264B"/>
    <w:rsid w:val="0025428A"/>
    <w:rsid w:val="00257978"/>
    <w:rsid w:val="002619DC"/>
    <w:rsid w:val="00270DB3"/>
    <w:rsid w:val="00280730"/>
    <w:rsid w:val="00281C61"/>
    <w:rsid w:val="00285767"/>
    <w:rsid w:val="002863CE"/>
    <w:rsid w:val="002A1185"/>
    <w:rsid w:val="002B2A94"/>
    <w:rsid w:val="002B6F4E"/>
    <w:rsid w:val="002C0E94"/>
    <w:rsid w:val="002D3534"/>
    <w:rsid w:val="002D49F7"/>
    <w:rsid w:val="002D64A2"/>
    <w:rsid w:val="002E0400"/>
    <w:rsid w:val="002F002B"/>
    <w:rsid w:val="002F485A"/>
    <w:rsid w:val="002F7EC2"/>
    <w:rsid w:val="003015E0"/>
    <w:rsid w:val="00307E95"/>
    <w:rsid w:val="00307FEB"/>
    <w:rsid w:val="003128F8"/>
    <w:rsid w:val="00322E5E"/>
    <w:rsid w:val="003247B0"/>
    <w:rsid w:val="00330918"/>
    <w:rsid w:val="003337A9"/>
    <w:rsid w:val="00340E70"/>
    <w:rsid w:val="00342F85"/>
    <w:rsid w:val="00347557"/>
    <w:rsid w:val="00355366"/>
    <w:rsid w:val="003629B6"/>
    <w:rsid w:val="003721AD"/>
    <w:rsid w:val="00380608"/>
    <w:rsid w:val="00383DC5"/>
    <w:rsid w:val="00385EED"/>
    <w:rsid w:val="00390B58"/>
    <w:rsid w:val="003A4D47"/>
    <w:rsid w:val="003A6435"/>
    <w:rsid w:val="003B0E4F"/>
    <w:rsid w:val="003B1966"/>
    <w:rsid w:val="003C0CBE"/>
    <w:rsid w:val="003C3421"/>
    <w:rsid w:val="003D1987"/>
    <w:rsid w:val="003D3AE8"/>
    <w:rsid w:val="003D69A7"/>
    <w:rsid w:val="003F79EC"/>
    <w:rsid w:val="0042193A"/>
    <w:rsid w:val="00434C5D"/>
    <w:rsid w:val="00435115"/>
    <w:rsid w:val="00445D0A"/>
    <w:rsid w:val="004540ED"/>
    <w:rsid w:val="00454843"/>
    <w:rsid w:val="004627B9"/>
    <w:rsid w:val="00473219"/>
    <w:rsid w:val="00481D66"/>
    <w:rsid w:val="00487B6B"/>
    <w:rsid w:val="004B5104"/>
    <w:rsid w:val="004B5797"/>
    <w:rsid w:val="004B64B3"/>
    <w:rsid w:val="004C0CEF"/>
    <w:rsid w:val="004C3F71"/>
    <w:rsid w:val="004D4D9F"/>
    <w:rsid w:val="0050659B"/>
    <w:rsid w:val="005153F7"/>
    <w:rsid w:val="0052216B"/>
    <w:rsid w:val="005224C1"/>
    <w:rsid w:val="005275F9"/>
    <w:rsid w:val="0053153F"/>
    <w:rsid w:val="00536954"/>
    <w:rsid w:val="00540606"/>
    <w:rsid w:val="00541870"/>
    <w:rsid w:val="005436EC"/>
    <w:rsid w:val="00544A37"/>
    <w:rsid w:val="005455B0"/>
    <w:rsid w:val="0055263D"/>
    <w:rsid w:val="0056150F"/>
    <w:rsid w:val="005729F4"/>
    <w:rsid w:val="005773B2"/>
    <w:rsid w:val="00577D19"/>
    <w:rsid w:val="0058062A"/>
    <w:rsid w:val="005834AE"/>
    <w:rsid w:val="005875EC"/>
    <w:rsid w:val="005A37E5"/>
    <w:rsid w:val="005A4497"/>
    <w:rsid w:val="005A5BBA"/>
    <w:rsid w:val="005A5F08"/>
    <w:rsid w:val="005B0E8E"/>
    <w:rsid w:val="005B31D7"/>
    <w:rsid w:val="005B5427"/>
    <w:rsid w:val="00612DC2"/>
    <w:rsid w:val="006135FD"/>
    <w:rsid w:val="006212F9"/>
    <w:rsid w:val="0062747C"/>
    <w:rsid w:val="0064160C"/>
    <w:rsid w:val="00656312"/>
    <w:rsid w:val="0066135D"/>
    <w:rsid w:val="00663C36"/>
    <w:rsid w:val="00667012"/>
    <w:rsid w:val="006768F0"/>
    <w:rsid w:val="00677078"/>
    <w:rsid w:val="00677C07"/>
    <w:rsid w:val="0068617E"/>
    <w:rsid w:val="00692610"/>
    <w:rsid w:val="006939E4"/>
    <w:rsid w:val="00693A07"/>
    <w:rsid w:val="00697A40"/>
    <w:rsid w:val="006A0BD0"/>
    <w:rsid w:val="006A150C"/>
    <w:rsid w:val="006A2F6C"/>
    <w:rsid w:val="006A3BE2"/>
    <w:rsid w:val="006B3CB5"/>
    <w:rsid w:val="006C61E8"/>
    <w:rsid w:val="006D65EC"/>
    <w:rsid w:val="006E26DC"/>
    <w:rsid w:val="006E52B8"/>
    <w:rsid w:val="006F32FB"/>
    <w:rsid w:val="00705D83"/>
    <w:rsid w:val="0072112F"/>
    <w:rsid w:val="007253C3"/>
    <w:rsid w:val="00730047"/>
    <w:rsid w:val="0073009C"/>
    <w:rsid w:val="00736FB9"/>
    <w:rsid w:val="00771B91"/>
    <w:rsid w:val="007824F4"/>
    <w:rsid w:val="00783AB1"/>
    <w:rsid w:val="00784109"/>
    <w:rsid w:val="00785FC5"/>
    <w:rsid w:val="0078631B"/>
    <w:rsid w:val="00791A2B"/>
    <w:rsid w:val="00792EE9"/>
    <w:rsid w:val="0079572A"/>
    <w:rsid w:val="00795D79"/>
    <w:rsid w:val="0079732B"/>
    <w:rsid w:val="007A1121"/>
    <w:rsid w:val="007A1122"/>
    <w:rsid w:val="007A15A6"/>
    <w:rsid w:val="007A278E"/>
    <w:rsid w:val="007B232E"/>
    <w:rsid w:val="007B358E"/>
    <w:rsid w:val="007C6288"/>
    <w:rsid w:val="007D085C"/>
    <w:rsid w:val="007D2280"/>
    <w:rsid w:val="007E5614"/>
    <w:rsid w:val="007F515C"/>
    <w:rsid w:val="008104E0"/>
    <w:rsid w:val="0081387C"/>
    <w:rsid w:val="0083053E"/>
    <w:rsid w:val="00830CE8"/>
    <w:rsid w:val="00831B5E"/>
    <w:rsid w:val="0083338E"/>
    <w:rsid w:val="00833A44"/>
    <w:rsid w:val="00845A34"/>
    <w:rsid w:val="008769D5"/>
    <w:rsid w:val="00883A3E"/>
    <w:rsid w:val="00885B2F"/>
    <w:rsid w:val="008868A5"/>
    <w:rsid w:val="008926E5"/>
    <w:rsid w:val="008926F3"/>
    <w:rsid w:val="008957C5"/>
    <w:rsid w:val="008A04D3"/>
    <w:rsid w:val="008A0C76"/>
    <w:rsid w:val="008B05F2"/>
    <w:rsid w:val="008C1795"/>
    <w:rsid w:val="008C4B0D"/>
    <w:rsid w:val="008D1E94"/>
    <w:rsid w:val="008E19F3"/>
    <w:rsid w:val="008F4980"/>
    <w:rsid w:val="008F6AAF"/>
    <w:rsid w:val="00903020"/>
    <w:rsid w:val="00906176"/>
    <w:rsid w:val="00906E67"/>
    <w:rsid w:val="00915ADA"/>
    <w:rsid w:val="009222C9"/>
    <w:rsid w:val="00932625"/>
    <w:rsid w:val="009344C2"/>
    <w:rsid w:val="0093538A"/>
    <w:rsid w:val="0094705C"/>
    <w:rsid w:val="00957B41"/>
    <w:rsid w:val="009644A2"/>
    <w:rsid w:val="00967162"/>
    <w:rsid w:val="00974A97"/>
    <w:rsid w:val="00977B41"/>
    <w:rsid w:val="00982987"/>
    <w:rsid w:val="009A69B1"/>
    <w:rsid w:val="009C0ECA"/>
    <w:rsid w:val="009C45BA"/>
    <w:rsid w:val="009E2833"/>
    <w:rsid w:val="009E317D"/>
    <w:rsid w:val="009E3B52"/>
    <w:rsid w:val="009E3D89"/>
    <w:rsid w:val="009F2CB2"/>
    <w:rsid w:val="009F2CEE"/>
    <w:rsid w:val="009F59EE"/>
    <w:rsid w:val="00A069E2"/>
    <w:rsid w:val="00A11C90"/>
    <w:rsid w:val="00A25B10"/>
    <w:rsid w:val="00A36D79"/>
    <w:rsid w:val="00A4618A"/>
    <w:rsid w:val="00A5429B"/>
    <w:rsid w:val="00A62CCA"/>
    <w:rsid w:val="00A719A5"/>
    <w:rsid w:val="00A7372B"/>
    <w:rsid w:val="00A7509B"/>
    <w:rsid w:val="00A7796E"/>
    <w:rsid w:val="00A77F44"/>
    <w:rsid w:val="00A93638"/>
    <w:rsid w:val="00AA218A"/>
    <w:rsid w:val="00AC614D"/>
    <w:rsid w:val="00AE44CB"/>
    <w:rsid w:val="00B11974"/>
    <w:rsid w:val="00B12CF8"/>
    <w:rsid w:val="00B15519"/>
    <w:rsid w:val="00B244B9"/>
    <w:rsid w:val="00B27178"/>
    <w:rsid w:val="00B30A9E"/>
    <w:rsid w:val="00B3265A"/>
    <w:rsid w:val="00B36901"/>
    <w:rsid w:val="00B37F41"/>
    <w:rsid w:val="00B43ABC"/>
    <w:rsid w:val="00B470FB"/>
    <w:rsid w:val="00B51125"/>
    <w:rsid w:val="00B52CDF"/>
    <w:rsid w:val="00B65A3B"/>
    <w:rsid w:val="00B72652"/>
    <w:rsid w:val="00B95BB2"/>
    <w:rsid w:val="00B95EBA"/>
    <w:rsid w:val="00BA1D82"/>
    <w:rsid w:val="00BA1FA3"/>
    <w:rsid w:val="00BA23D8"/>
    <w:rsid w:val="00BB4D49"/>
    <w:rsid w:val="00BB51F4"/>
    <w:rsid w:val="00BB58F0"/>
    <w:rsid w:val="00BB6439"/>
    <w:rsid w:val="00BB675F"/>
    <w:rsid w:val="00BD17B0"/>
    <w:rsid w:val="00BD3715"/>
    <w:rsid w:val="00BD5A47"/>
    <w:rsid w:val="00BD6E76"/>
    <w:rsid w:val="00BF4092"/>
    <w:rsid w:val="00C05CCC"/>
    <w:rsid w:val="00C23E32"/>
    <w:rsid w:val="00C31E67"/>
    <w:rsid w:val="00C33A4A"/>
    <w:rsid w:val="00C42FAF"/>
    <w:rsid w:val="00C52DA0"/>
    <w:rsid w:val="00C864DC"/>
    <w:rsid w:val="00C908E5"/>
    <w:rsid w:val="00C9156E"/>
    <w:rsid w:val="00CA1722"/>
    <w:rsid w:val="00CA7CAF"/>
    <w:rsid w:val="00CB06F8"/>
    <w:rsid w:val="00CB18B1"/>
    <w:rsid w:val="00CB38CA"/>
    <w:rsid w:val="00CB6F2B"/>
    <w:rsid w:val="00CB7254"/>
    <w:rsid w:val="00CC0CB0"/>
    <w:rsid w:val="00CC1067"/>
    <w:rsid w:val="00CD3324"/>
    <w:rsid w:val="00CD46EA"/>
    <w:rsid w:val="00CE6C6E"/>
    <w:rsid w:val="00D01832"/>
    <w:rsid w:val="00D07AA2"/>
    <w:rsid w:val="00D21C96"/>
    <w:rsid w:val="00D30854"/>
    <w:rsid w:val="00D31127"/>
    <w:rsid w:val="00D3359F"/>
    <w:rsid w:val="00D47B55"/>
    <w:rsid w:val="00D50703"/>
    <w:rsid w:val="00D60D98"/>
    <w:rsid w:val="00D721F1"/>
    <w:rsid w:val="00D73F33"/>
    <w:rsid w:val="00D80B6D"/>
    <w:rsid w:val="00D80F78"/>
    <w:rsid w:val="00D84488"/>
    <w:rsid w:val="00D844C8"/>
    <w:rsid w:val="00D8513A"/>
    <w:rsid w:val="00D85BBB"/>
    <w:rsid w:val="00D943AD"/>
    <w:rsid w:val="00D9690A"/>
    <w:rsid w:val="00DA7B87"/>
    <w:rsid w:val="00DB0343"/>
    <w:rsid w:val="00DB63D9"/>
    <w:rsid w:val="00DB7121"/>
    <w:rsid w:val="00DB7E77"/>
    <w:rsid w:val="00DC0BD6"/>
    <w:rsid w:val="00DC0F17"/>
    <w:rsid w:val="00DC30D0"/>
    <w:rsid w:val="00DD7940"/>
    <w:rsid w:val="00DE59C6"/>
    <w:rsid w:val="00E00DC6"/>
    <w:rsid w:val="00E058A3"/>
    <w:rsid w:val="00E130CB"/>
    <w:rsid w:val="00E151F3"/>
    <w:rsid w:val="00E17539"/>
    <w:rsid w:val="00E27028"/>
    <w:rsid w:val="00E32C50"/>
    <w:rsid w:val="00E5280E"/>
    <w:rsid w:val="00E52CEE"/>
    <w:rsid w:val="00E563FC"/>
    <w:rsid w:val="00E57F9B"/>
    <w:rsid w:val="00E60634"/>
    <w:rsid w:val="00E6319B"/>
    <w:rsid w:val="00E6726D"/>
    <w:rsid w:val="00E81433"/>
    <w:rsid w:val="00E81C95"/>
    <w:rsid w:val="00E845C0"/>
    <w:rsid w:val="00E852A3"/>
    <w:rsid w:val="00EA0C1C"/>
    <w:rsid w:val="00EA477A"/>
    <w:rsid w:val="00EA5D92"/>
    <w:rsid w:val="00EC3779"/>
    <w:rsid w:val="00EC7F0E"/>
    <w:rsid w:val="00ED2D1F"/>
    <w:rsid w:val="00ED58E9"/>
    <w:rsid w:val="00ED79D6"/>
    <w:rsid w:val="00EE1831"/>
    <w:rsid w:val="00EE3DAD"/>
    <w:rsid w:val="00EF2F7C"/>
    <w:rsid w:val="00F14982"/>
    <w:rsid w:val="00F2598D"/>
    <w:rsid w:val="00F336A2"/>
    <w:rsid w:val="00F44AEB"/>
    <w:rsid w:val="00F45620"/>
    <w:rsid w:val="00F5304D"/>
    <w:rsid w:val="00F532E2"/>
    <w:rsid w:val="00F5470D"/>
    <w:rsid w:val="00F72E32"/>
    <w:rsid w:val="00F829B7"/>
    <w:rsid w:val="00F84A4F"/>
    <w:rsid w:val="00F9173C"/>
    <w:rsid w:val="00F975AD"/>
    <w:rsid w:val="00FB18D0"/>
    <w:rsid w:val="00FB2315"/>
    <w:rsid w:val="00FB2ED6"/>
    <w:rsid w:val="00FC2522"/>
    <w:rsid w:val="00FC5B56"/>
    <w:rsid w:val="00FD4B12"/>
    <w:rsid w:val="00FD5009"/>
    <w:rsid w:val="00FD6A70"/>
    <w:rsid w:val="00FE1EC8"/>
    <w:rsid w:val="00FE4FBF"/>
    <w:rsid w:val="00FF1E5A"/>
    <w:rsid w:val="00FF6F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E563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225344068">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584384584">
      <w:bodyDiv w:val="1"/>
      <w:marLeft w:val="0"/>
      <w:marRight w:val="0"/>
      <w:marTop w:val="0"/>
      <w:marBottom w:val="0"/>
      <w:divBdr>
        <w:top w:val="none" w:sz="0" w:space="0" w:color="auto"/>
        <w:left w:val="none" w:sz="0" w:space="0" w:color="auto"/>
        <w:bottom w:val="none" w:sz="0" w:space="0" w:color="auto"/>
        <w:right w:val="none" w:sz="0" w:space="0" w:color="auto"/>
      </w:divBdr>
    </w:div>
    <w:div w:id="588000337">
      <w:bodyDiv w:val="1"/>
      <w:marLeft w:val="0"/>
      <w:marRight w:val="0"/>
      <w:marTop w:val="0"/>
      <w:marBottom w:val="0"/>
      <w:divBdr>
        <w:top w:val="none" w:sz="0" w:space="0" w:color="auto"/>
        <w:left w:val="none" w:sz="0" w:space="0" w:color="auto"/>
        <w:bottom w:val="none" w:sz="0" w:space="0" w:color="auto"/>
        <w:right w:val="none" w:sz="0" w:space="0" w:color="auto"/>
      </w:divBdr>
    </w:div>
    <w:div w:id="858007546">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3176217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370837486">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30217791">
      <w:bodyDiv w:val="1"/>
      <w:marLeft w:val="0"/>
      <w:marRight w:val="0"/>
      <w:marTop w:val="0"/>
      <w:marBottom w:val="0"/>
      <w:divBdr>
        <w:top w:val="none" w:sz="0" w:space="0" w:color="auto"/>
        <w:left w:val="none" w:sz="0" w:space="0" w:color="auto"/>
        <w:bottom w:val="none" w:sz="0" w:space="0" w:color="auto"/>
        <w:right w:val="none" w:sz="0" w:space="0" w:color="auto"/>
      </w:divBdr>
    </w:div>
    <w:div w:id="1695886480">
      <w:bodyDiv w:val="1"/>
      <w:marLeft w:val="0"/>
      <w:marRight w:val="0"/>
      <w:marTop w:val="0"/>
      <w:marBottom w:val="0"/>
      <w:divBdr>
        <w:top w:val="none" w:sz="0" w:space="0" w:color="auto"/>
        <w:left w:val="none" w:sz="0" w:space="0" w:color="auto"/>
        <w:bottom w:val="none" w:sz="0" w:space="0" w:color="auto"/>
        <w:right w:val="none" w:sz="0" w:space="0" w:color="auto"/>
      </w:divBdr>
    </w:div>
    <w:div w:id="1737900709">
      <w:bodyDiv w:val="1"/>
      <w:marLeft w:val="0"/>
      <w:marRight w:val="0"/>
      <w:marTop w:val="0"/>
      <w:marBottom w:val="0"/>
      <w:divBdr>
        <w:top w:val="none" w:sz="0" w:space="0" w:color="auto"/>
        <w:left w:val="none" w:sz="0" w:space="0" w:color="auto"/>
        <w:bottom w:val="none" w:sz="0" w:space="0" w:color="auto"/>
        <w:right w:val="none" w:sz="0" w:space="0" w:color="auto"/>
      </w:divBdr>
    </w:div>
    <w:div w:id="1865820393">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yperlink" Target="mailto:tereza.kunova@bcas.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B650D-4EDB-43EE-9E1C-6CAE1D926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3</Pages>
  <Words>943</Words>
  <Characters>5566</Characters>
  <Application>Microsoft Office Word</Application>
  <DocSecurity>0</DocSecurity>
  <Lines>46</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29</cp:revision>
  <dcterms:created xsi:type="dcterms:W3CDTF">2021-05-12T12:49:00Z</dcterms:created>
  <dcterms:modified xsi:type="dcterms:W3CDTF">2021-07-19T08:00:00Z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