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15233C16"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PODÍLOVÝCH FONDŮ </w:t>
          </w:r>
          <w:r w:rsidRPr="004B5797">
            <w:rPr>
              <w:rFonts w:ascii="Arial" w:hAnsi="Arial" w:cs="Arial"/>
              <w:color w:val="CD1719"/>
              <w:sz w:val="24"/>
            </w:rPr>
            <w:t>|</w:t>
          </w:r>
          <w:r w:rsidRPr="004B5797">
            <w:rPr>
              <w:rFonts w:ascii="Arial" w:hAnsi="Arial" w:cs="Arial"/>
              <w:color w:val="1D1D1B"/>
              <w:sz w:val="24"/>
            </w:rPr>
            <w:t xml:space="preserve"> INDEX TYPICKÉHO INVESTORA </w:t>
          </w:r>
        </w:p>
        <w:p w14:paraId="03C4DE47" w14:textId="77777777" w:rsidR="0009776B"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INDEX VOLNÝCH PENĚZ DOMÁCNOSTÍ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77777777" w:rsidR="00032D94" w:rsidRPr="004B5797" w:rsidRDefault="00D80B6D" w:rsidP="00D80B6D">
          <w:pPr>
            <w:spacing w:before="240" w:line="288" w:lineRule="exact"/>
            <w:ind w:left="162"/>
            <w:jc w:val="center"/>
            <w:rPr>
              <w:rFonts w:ascii="Arial" w:hAnsi="Arial" w:cs="Arial"/>
              <w:color w:val="1D1D1B"/>
              <w:sz w:val="24"/>
            </w:rPr>
          </w:pPr>
          <w:r w:rsidRPr="004B5797">
            <w:rPr>
              <w:rFonts w:ascii="Arial" w:hAnsi="Arial" w:cs="Arial"/>
              <w:color w:val="1D1D1B"/>
              <w:sz w:val="24"/>
            </w:rPr>
            <w:t xml:space="preserve">INDEX FINANČNÍ GRAMOTNOSTI </w:t>
          </w:r>
        </w:p>
        <w:p w14:paraId="4C8EDD49" w14:textId="77777777" w:rsidR="00D80B6D" w:rsidRPr="004B5797" w:rsidRDefault="00D80B6D" w:rsidP="00D80B6D">
          <w:pPr>
            <w:spacing w:before="240" w:line="288" w:lineRule="exact"/>
            <w:ind w:left="162"/>
            <w:jc w:val="center"/>
            <w:rPr>
              <w:rFonts w:ascii="Arial" w:hAnsi="Arial" w:cs="Arial"/>
              <w:sz w:val="24"/>
            </w:rPr>
          </w:pPr>
          <w:r w:rsidRPr="004B5797">
            <w:rPr>
              <w:rFonts w:ascii="Arial" w:hAnsi="Arial" w:cs="Arial"/>
              <w:color w:val="1D1D1B"/>
              <w:sz w:val="24"/>
            </w:rPr>
            <w:t>INDEX OČEKÁVANÝCH CEN PŘI PRODEJI NEMOVITOSTI</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32641326"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40</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F101B3"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31A9011E" w14:textId="45944FB8" w:rsidR="006166CE" w:rsidRPr="00B67AF0" w:rsidRDefault="00FB53F1" w:rsidP="00B67AF0">
      <w:pPr>
        <w:rPr>
          <w:rFonts w:ascii="Arial" w:hAnsi="Arial" w:cs="Arial"/>
          <w:b/>
          <w:sz w:val="28"/>
          <w:szCs w:val="28"/>
        </w:rPr>
      </w:pPr>
      <w:r w:rsidRPr="00E31346">
        <w:rPr>
          <w:rFonts w:ascii="Arial" w:hAnsi="Arial" w:cs="Arial"/>
          <w:b/>
          <w:color w:val="FF0000"/>
          <w:sz w:val="28"/>
          <w:szCs w:val="28"/>
        </w:rPr>
        <w:t xml:space="preserve"> </w:t>
      </w:r>
    </w:p>
    <w:p w14:paraId="11EEB47F" w14:textId="755F9473" w:rsidR="00FA1C73" w:rsidRDefault="00FB53F1" w:rsidP="00772FF0">
      <w:pPr>
        <w:jc w:val="center"/>
        <w:rPr>
          <w:rFonts w:ascii="Arial" w:hAnsi="Arial" w:cs="Arial"/>
          <w:b/>
          <w:sz w:val="28"/>
          <w:szCs w:val="28"/>
        </w:rPr>
      </w:pPr>
      <w:r w:rsidRPr="00B67AF0">
        <w:rPr>
          <w:rFonts w:ascii="Arial" w:hAnsi="Arial" w:cs="Arial"/>
          <w:b/>
          <w:sz w:val="28"/>
          <w:szCs w:val="28"/>
        </w:rPr>
        <w:t xml:space="preserve">Průměrné sazby </w:t>
      </w:r>
      <w:r w:rsidR="00B67AF0" w:rsidRPr="00B67AF0">
        <w:rPr>
          <w:rFonts w:ascii="Arial" w:hAnsi="Arial" w:cs="Arial"/>
          <w:b/>
          <w:sz w:val="28"/>
          <w:szCs w:val="28"/>
        </w:rPr>
        <w:t>spotřebitelských úvěrů v květnu meziměsíčně poklesly o 0,51 procentního bodu až na 6,01</w:t>
      </w:r>
      <w:r w:rsidRPr="00B67AF0">
        <w:rPr>
          <w:rFonts w:ascii="Arial" w:hAnsi="Arial" w:cs="Arial"/>
          <w:b/>
          <w:sz w:val="28"/>
          <w:szCs w:val="28"/>
        </w:rPr>
        <w:t xml:space="preserve"> %</w:t>
      </w:r>
      <w:r w:rsidR="00ED2D1F" w:rsidRPr="00B67AF0">
        <w:rPr>
          <w:rFonts w:ascii="Arial" w:hAnsi="Arial" w:cs="Arial"/>
          <w:b/>
          <w:sz w:val="28"/>
          <w:szCs w:val="28"/>
        </w:rPr>
        <w:t xml:space="preserve"> </w:t>
      </w:r>
    </w:p>
    <w:p w14:paraId="0C1693C1" w14:textId="77777777" w:rsidR="00772FF0" w:rsidRPr="002A6FA3" w:rsidRDefault="00772FF0" w:rsidP="00772FF0">
      <w:pPr>
        <w:jc w:val="center"/>
        <w:rPr>
          <w:rFonts w:ascii="Arial" w:hAnsi="Arial" w:cs="Arial"/>
          <w:bCs/>
          <w:i/>
          <w:sz w:val="20"/>
          <w:szCs w:val="20"/>
        </w:rPr>
      </w:pPr>
    </w:p>
    <w:p w14:paraId="1E575E03" w14:textId="157A307F" w:rsidR="009E31C0" w:rsidRPr="009E31C0" w:rsidRDefault="00FA1C73" w:rsidP="00683F9A">
      <w:pPr>
        <w:jc w:val="both"/>
        <w:rPr>
          <w:rFonts w:ascii="Arial" w:hAnsi="Arial" w:cs="Arial"/>
          <w:b/>
          <w:sz w:val="20"/>
          <w:szCs w:val="20"/>
        </w:rPr>
      </w:pPr>
      <w:r w:rsidRPr="002A6FA3">
        <w:rPr>
          <w:rFonts w:ascii="Arial" w:hAnsi="Arial" w:cs="Arial"/>
          <w:bCs/>
          <w:i/>
          <w:sz w:val="20"/>
          <w:szCs w:val="20"/>
        </w:rPr>
        <w:t xml:space="preserve">Praha, </w:t>
      </w:r>
      <w:r w:rsidR="00E31346">
        <w:rPr>
          <w:rFonts w:ascii="Arial" w:hAnsi="Arial" w:cs="Arial"/>
          <w:bCs/>
          <w:i/>
          <w:sz w:val="20"/>
          <w:szCs w:val="20"/>
        </w:rPr>
        <w:t>2</w:t>
      </w:r>
      <w:r w:rsidR="00C94EEA">
        <w:rPr>
          <w:rFonts w:ascii="Arial" w:hAnsi="Arial" w:cs="Arial"/>
          <w:bCs/>
          <w:i/>
          <w:sz w:val="20"/>
          <w:szCs w:val="20"/>
        </w:rPr>
        <w:t>8</w:t>
      </w:r>
      <w:r w:rsidR="00E31346">
        <w:rPr>
          <w:rFonts w:ascii="Arial" w:hAnsi="Arial" w:cs="Arial"/>
          <w:bCs/>
          <w:i/>
          <w:sz w:val="20"/>
          <w:szCs w:val="20"/>
        </w:rPr>
        <w:t>. června</w:t>
      </w:r>
      <w:r w:rsidRPr="002A6FA3">
        <w:rPr>
          <w:rFonts w:ascii="Arial" w:hAnsi="Arial" w:cs="Arial"/>
          <w:bCs/>
          <w:i/>
          <w:sz w:val="20"/>
          <w:szCs w:val="20"/>
        </w:rPr>
        <w:t xml:space="preserve"> 2021</w:t>
      </w:r>
      <w:r w:rsidR="00AA6E6D" w:rsidRPr="003028DB">
        <w:rPr>
          <w:rFonts w:ascii="Arial" w:hAnsi="Arial" w:cs="Arial"/>
          <w:bCs/>
          <w:sz w:val="20"/>
          <w:szCs w:val="20"/>
        </w:rPr>
        <w:t xml:space="preserve"> –</w:t>
      </w:r>
      <w:r w:rsidR="00AA6E6D">
        <w:rPr>
          <w:rFonts w:ascii="Arial" w:hAnsi="Arial" w:cs="Arial"/>
          <w:b/>
          <w:bCs/>
          <w:sz w:val="20"/>
          <w:szCs w:val="20"/>
        </w:rPr>
        <w:t xml:space="preserve"> </w:t>
      </w:r>
      <w:r w:rsidR="009E31C0">
        <w:rPr>
          <w:rFonts w:ascii="Arial" w:hAnsi="Arial" w:cs="Arial"/>
          <w:b/>
          <w:bCs/>
          <w:sz w:val="20"/>
          <w:szCs w:val="20"/>
        </w:rPr>
        <w:t xml:space="preserve">Průměrné sazby z úvěrů na cokoli </w:t>
      </w:r>
      <w:r w:rsidR="00683F9A">
        <w:rPr>
          <w:rFonts w:ascii="Arial" w:hAnsi="Arial" w:cs="Arial"/>
          <w:b/>
          <w:bCs/>
          <w:sz w:val="20"/>
          <w:szCs w:val="20"/>
        </w:rPr>
        <w:t>pokračují</w:t>
      </w:r>
      <w:r w:rsidR="009E31C0">
        <w:rPr>
          <w:rFonts w:ascii="Arial" w:hAnsi="Arial" w:cs="Arial"/>
          <w:b/>
          <w:bCs/>
          <w:sz w:val="20"/>
          <w:szCs w:val="20"/>
        </w:rPr>
        <w:t xml:space="preserve"> už druhý měsíc v řadě klesajícím tempem. Podle dat </w:t>
      </w:r>
      <w:r w:rsidR="009E31C0" w:rsidRPr="009E31C0">
        <w:rPr>
          <w:rFonts w:ascii="Arial" w:hAnsi="Arial" w:cs="Arial"/>
          <w:b/>
          <w:bCs/>
          <w:sz w:val="20"/>
          <w:szCs w:val="20"/>
        </w:rPr>
        <w:t>Broker Consulting Indexu spotřebitelských úvěrů poklesla květnová hodnota ve srovnání s předchozím měsícem o 0,</w:t>
      </w:r>
      <w:r w:rsidR="00B67AF0">
        <w:rPr>
          <w:rFonts w:ascii="Arial" w:hAnsi="Arial" w:cs="Arial"/>
          <w:b/>
          <w:bCs/>
          <w:sz w:val="20"/>
          <w:szCs w:val="20"/>
        </w:rPr>
        <w:t>5</w:t>
      </w:r>
      <w:r w:rsidR="009E31C0" w:rsidRPr="009E31C0">
        <w:rPr>
          <w:rFonts w:ascii="Arial" w:hAnsi="Arial" w:cs="Arial"/>
          <w:b/>
          <w:bCs/>
          <w:sz w:val="20"/>
          <w:szCs w:val="20"/>
        </w:rPr>
        <w:t xml:space="preserve">1procentního bodu až na 6,01 %. </w:t>
      </w:r>
      <w:r w:rsidR="009E31C0" w:rsidRPr="009E31C0">
        <w:rPr>
          <w:rFonts w:ascii="Arial" w:hAnsi="Arial" w:cs="Arial"/>
          <w:b/>
          <w:sz w:val="20"/>
          <w:szCs w:val="20"/>
        </w:rPr>
        <w:t xml:space="preserve">Přesně před rokem přitom byly sazby na úrovni 6,91 %. </w:t>
      </w:r>
    </w:p>
    <w:p w14:paraId="61ADCD28" w14:textId="015E822F" w:rsidR="0034184F" w:rsidRDefault="0034184F" w:rsidP="00683F9A">
      <w:pPr>
        <w:jc w:val="both"/>
        <w:rPr>
          <w:rFonts w:ascii="Arial" w:hAnsi="Arial" w:cs="Arial"/>
          <w:b/>
          <w:bCs/>
          <w:sz w:val="20"/>
          <w:szCs w:val="20"/>
        </w:rPr>
      </w:pPr>
    </w:p>
    <w:p w14:paraId="44924BE6" w14:textId="62DC1FF7" w:rsidR="00E31346" w:rsidRPr="00A7360E" w:rsidRDefault="009E31C0" w:rsidP="00683F9A">
      <w:pPr>
        <w:jc w:val="both"/>
        <w:rPr>
          <w:rFonts w:ascii="Arial" w:eastAsia="Times New Roman" w:hAnsi="Arial" w:cs="Arial"/>
          <w:sz w:val="20"/>
          <w:szCs w:val="20"/>
        </w:rPr>
      </w:pPr>
      <w:r w:rsidRPr="0092097A">
        <w:rPr>
          <w:rFonts w:ascii="Arial" w:eastAsia="Times New Roman" w:hAnsi="Arial" w:cs="Arial"/>
          <w:i/>
          <w:sz w:val="20"/>
          <w:szCs w:val="20"/>
        </w:rPr>
        <w:t>„</w:t>
      </w:r>
      <w:r w:rsidR="0092097A" w:rsidRPr="0092097A">
        <w:rPr>
          <w:rFonts w:ascii="Arial" w:eastAsia="Times New Roman" w:hAnsi="Arial" w:cs="Arial"/>
          <w:i/>
          <w:sz w:val="20"/>
          <w:szCs w:val="20"/>
        </w:rPr>
        <w:t>Naš</w:t>
      </w:r>
      <w:r w:rsidR="0092097A">
        <w:rPr>
          <w:rFonts w:ascii="Arial" w:eastAsia="Times New Roman" w:hAnsi="Arial" w:cs="Arial"/>
          <w:i/>
          <w:sz w:val="20"/>
          <w:szCs w:val="20"/>
        </w:rPr>
        <w:t>e</w:t>
      </w:r>
      <w:r w:rsidR="00E31346" w:rsidRPr="0092097A">
        <w:rPr>
          <w:rFonts w:ascii="Arial" w:eastAsia="Times New Roman" w:hAnsi="Arial" w:cs="Arial"/>
          <w:i/>
          <w:sz w:val="20"/>
          <w:szCs w:val="20"/>
        </w:rPr>
        <w:t xml:space="preserve"> předpověď týkající se vývoje průměrných sazeb u spotřebitelských úvěrů byla správná. Po několika měsících mírného růstu v řád</w:t>
      </w:r>
      <w:r w:rsidR="0092097A" w:rsidRPr="0092097A">
        <w:rPr>
          <w:rFonts w:ascii="Arial" w:eastAsia="Times New Roman" w:hAnsi="Arial" w:cs="Arial"/>
          <w:i/>
          <w:sz w:val="20"/>
          <w:szCs w:val="20"/>
        </w:rPr>
        <w:t>u desetin procentních bodů dochází nyní</w:t>
      </w:r>
      <w:r w:rsidR="00E31346" w:rsidRPr="0092097A">
        <w:rPr>
          <w:rFonts w:ascii="Arial" w:eastAsia="Times New Roman" w:hAnsi="Arial" w:cs="Arial"/>
          <w:i/>
          <w:sz w:val="20"/>
          <w:szCs w:val="20"/>
        </w:rPr>
        <w:t xml:space="preserve"> k poklesu. Ukazuje se, že sazby u spotřebitelských úvěrů jsou v posledních letech spíše stabilní a výkyvy jsou dány sezonními vlivy nebo akcemi jednotlivých účastníků na trhu. Pro žadatele o úvěr je tak více než rozumné počítat spíše s průměrnou, nebo mírně vyšší úrokovou sazbou a nespoléhat se jen na marketingov</w:t>
      </w:r>
      <w:r w:rsidR="0092097A" w:rsidRPr="0092097A">
        <w:rPr>
          <w:rFonts w:ascii="Arial" w:eastAsia="Times New Roman" w:hAnsi="Arial" w:cs="Arial"/>
          <w:i/>
          <w:sz w:val="20"/>
          <w:szCs w:val="20"/>
        </w:rPr>
        <w:t xml:space="preserve">á </w:t>
      </w:r>
      <w:r w:rsidR="00E31346" w:rsidRPr="0092097A">
        <w:rPr>
          <w:rFonts w:ascii="Arial" w:eastAsia="Times New Roman" w:hAnsi="Arial" w:cs="Arial"/>
          <w:i/>
          <w:sz w:val="20"/>
          <w:szCs w:val="20"/>
        </w:rPr>
        <w:t>sdělení úvěrových institucí</w:t>
      </w:r>
      <w:r w:rsidR="00772FF0">
        <w:rPr>
          <w:rFonts w:ascii="Arial" w:eastAsia="Times New Roman" w:hAnsi="Arial" w:cs="Arial"/>
          <w:i/>
          <w:sz w:val="20"/>
          <w:szCs w:val="20"/>
        </w:rPr>
        <w:t xml:space="preserve"> lákající klient</w:t>
      </w:r>
      <w:r w:rsidR="0080323F">
        <w:rPr>
          <w:rFonts w:ascii="Arial" w:eastAsia="Times New Roman" w:hAnsi="Arial" w:cs="Arial"/>
          <w:i/>
          <w:sz w:val="20"/>
          <w:szCs w:val="20"/>
        </w:rPr>
        <w:t>y</w:t>
      </w:r>
      <w:r w:rsidR="00772FF0">
        <w:rPr>
          <w:rFonts w:ascii="Arial" w:eastAsia="Times New Roman" w:hAnsi="Arial" w:cs="Arial"/>
          <w:i/>
          <w:sz w:val="20"/>
          <w:szCs w:val="20"/>
        </w:rPr>
        <w:t xml:space="preserve"> na sazbu „již od“</w:t>
      </w:r>
      <w:r w:rsidR="0092097A" w:rsidRPr="0092097A">
        <w:rPr>
          <w:rFonts w:ascii="Arial" w:eastAsia="Times New Roman" w:hAnsi="Arial" w:cs="Arial"/>
          <w:i/>
          <w:sz w:val="20"/>
          <w:szCs w:val="20"/>
        </w:rPr>
        <w:t>,“</w:t>
      </w:r>
      <w:r w:rsidR="0092097A">
        <w:rPr>
          <w:rFonts w:ascii="Arial" w:eastAsia="Times New Roman" w:hAnsi="Arial" w:cs="Arial"/>
          <w:sz w:val="20"/>
          <w:szCs w:val="20"/>
        </w:rPr>
        <w:t xml:space="preserve"> komentuje květnové výsledky </w:t>
      </w:r>
      <w:r w:rsidR="0092097A" w:rsidRPr="0092097A">
        <w:rPr>
          <w:rFonts w:ascii="Arial" w:eastAsia="Times New Roman" w:hAnsi="Arial" w:cs="Arial"/>
          <w:b/>
          <w:sz w:val="20"/>
          <w:szCs w:val="20"/>
        </w:rPr>
        <w:t>hlavní analytik Broker Consulting Martin Novák</w:t>
      </w:r>
      <w:r w:rsidR="00E31346" w:rsidRPr="00A7360E">
        <w:rPr>
          <w:rFonts w:ascii="Arial" w:eastAsia="Times New Roman" w:hAnsi="Arial" w:cs="Arial"/>
          <w:sz w:val="20"/>
          <w:szCs w:val="20"/>
        </w:rPr>
        <w:t>.</w:t>
      </w:r>
    </w:p>
    <w:p w14:paraId="7883D503" w14:textId="14FACF19" w:rsidR="00E31346" w:rsidRPr="005C150C" w:rsidRDefault="00E31346" w:rsidP="00683F9A">
      <w:pPr>
        <w:jc w:val="both"/>
        <w:rPr>
          <w:rFonts w:ascii="Arial" w:hAnsi="Arial" w:cs="Arial"/>
          <w:sz w:val="20"/>
          <w:szCs w:val="20"/>
        </w:rPr>
      </w:pPr>
    </w:p>
    <w:p w14:paraId="3C89EC6E" w14:textId="2108E7A3" w:rsidR="0092097A" w:rsidRDefault="00772FF0" w:rsidP="0092097A">
      <w:pPr>
        <w:jc w:val="both"/>
        <w:rPr>
          <w:rFonts w:ascii="Arial" w:hAnsi="Arial" w:cs="Arial"/>
          <w:sz w:val="20"/>
          <w:szCs w:val="20"/>
        </w:rPr>
      </w:pPr>
      <w:r>
        <w:rPr>
          <w:rFonts w:ascii="Arial" w:hAnsi="Arial" w:cs="Arial"/>
          <w:sz w:val="20"/>
          <w:szCs w:val="20"/>
        </w:rPr>
        <w:t>Č</w:t>
      </w:r>
      <w:r w:rsidR="0080323F">
        <w:rPr>
          <w:rFonts w:ascii="Arial" w:hAnsi="Arial" w:cs="Arial"/>
          <w:sz w:val="20"/>
          <w:szCs w:val="20"/>
        </w:rPr>
        <w:t xml:space="preserve">eská národní banka </w:t>
      </w:r>
      <w:r w:rsidR="00A1395B">
        <w:rPr>
          <w:rFonts w:ascii="Arial" w:hAnsi="Arial" w:cs="Arial"/>
          <w:sz w:val="20"/>
          <w:szCs w:val="20"/>
        </w:rPr>
        <w:t>na svém červnovém zasedání</w:t>
      </w:r>
      <w:r w:rsidR="00A1395B" w:rsidRPr="005C150C">
        <w:rPr>
          <w:rFonts w:ascii="Arial" w:hAnsi="Arial" w:cs="Arial"/>
          <w:sz w:val="20"/>
          <w:szCs w:val="20"/>
        </w:rPr>
        <w:t xml:space="preserve"> </w:t>
      </w:r>
      <w:r>
        <w:rPr>
          <w:rFonts w:ascii="Arial" w:hAnsi="Arial" w:cs="Arial"/>
          <w:sz w:val="20"/>
          <w:szCs w:val="20"/>
        </w:rPr>
        <w:t xml:space="preserve">zvedla </w:t>
      </w:r>
      <w:r w:rsidR="0092097A" w:rsidRPr="005C150C">
        <w:rPr>
          <w:rFonts w:ascii="Arial" w:hAnsi="Arial" w:cs="Arial"/>
          <w:sz w:val="20"/>
          <w:szCs w:val="20"/>
        </w:rPr>
        <w:t>základní úrokové sazby</w:t>
      </w:r>
      <w:r w:rsidR="0080323F">
        <w:rPr>
          <w:rFonts w:ascii="Arial" w:hAnsi="Arial" w:cs="Arial"/>
          <w:sz w:val="20"/>
          <w:szCs w:val="20"/>
        </w:rPr>
        <w:t>.</w:t>
      </w:r>
      <w:r w:rsidR="00A1395B">
        <w:rPr>
          <w:rFonts w:ascii="Arial" w:hAnsi="Arial" w:cs="Arial"/>
          <w:sz w:val="20"/>
          <w:szCs w:val="20"/>
        </w:rPr>
        <w:t xml:space="preserve"> Tento krok povede</w:t>
      </w:r>
      <w:r w:rsidR="0092097A" w:rsidRPr="005C150C">
        <w:rPr>
          <w:rFonts w:ascii="Arial" w:hAnsi="Arial" w:cs="Arial"/>
          <w:sz w:val="20"/>
          <w:szCs w:val="20"/>
        </w:rPr>
        <w:t xml:space="preserve"> ke zdražení peněz na mezibankovním </w:t>
      </w:r>
      <w:r w:rsidR="0092097A">
        <w:rPr>
          <w:rFonts w:ascii="Arial" w:hAnsi="Arial" w:cs="Arial"/>
          <w:sz w:val="20"/>
          <w:szCs w:val="20"/>
        </w:rPr>
        <w:t>trhu</w:t>
      </w:r>
      <w:r>
        <w:rPr>
          <w:rFonts w:ascii="Arial" w:hAnsi="Arial" w:cs="Arial"/>
          <w:sz w:val="20"/>
          <w:szCs w:val="20"/>
        </w:rPr>
        <w:t xml:space="preserve">, </w:t>
      </w:r>
      <w:r w:rsidR="00A1395B">
        <w:rPr>
          <w:rFonts w:ascii="Arial" w:hAnsi="Arial" w:cs="Arial"/>
          <w:sz w:val="20"/>
          <w:szCs w:val="20"/>
        </w:rPr>
        <w:t xml:space="preserve">avšak dopad bude mít především na </w:t>
      </w:r>
      <w:r>
        <w:rPr>
          <w:rFonts w:ascii="Arial" w:hAnsi="Arial" w:cs="Arial"/>
          <w:sz w:val="20"/>
          <w:szCs w:val="20"/>
        </w:rPr>
        <w:t>hypoteční úvěry a úvěry pro podnikatele</w:t>
      </w:r>
      <w:r w:rsidR="0092097A">
        <w:rPr>
          <w:rFonts w:ascii="Arial" w:hAnsi="Arial" w:cs="Arial"/>
          <w:sz w:val="20"/>
          <w:szCs w:val="20"/>
        </w:rPr>
        <w:t xml:space="preserve">. V případě spotřebitelských úvěrů </w:t>
      </w:r>
      <w:r w:rsidR="00A1395B">
        <w:rPr>
          <w:rFonts w:ascii="Arial" w:hAnsi="Arial" w:cs="Arial"/>
          <w:sz w:val="20"/>
          <w:szCs w:val="20"/>
        </w:rPr>
        <w:t>je tak sice na</w:t>
      </w:r>
      <w:r>
        <w:rPr>
          <w:rFonts w:ascii="Arial" w:hAnsi="Arial" w:cs="Arial"/>
          <w:sz w:val="20"/>
          <w:szCs w:val="20"/>
        </w:rPr>
        <w:t xml:space="preserve">místě být obezřetný, </w:t>
      </w:r>
      <w:r w:rsidR="00A1395B">
        <w:rPr>
          <w:rFonts w:ascii="Arial" w:hAnsi="Arial" w:cs="Arial"/>
          <w:sz w:val="20"/>
          <w:szCs w:val="20"/>
        </w:rPr>
        <w:t>nicméně</w:t>
      </w:r>
      <w:r>
        <w:rPr>
          <w:rFonts w:ascii="Arial" w:hAnsi="Arial" w:cs="Arial"/>
          <w:sz w:val="20"/>
          <w:szCs w:val="20"/>
        </w:rPr>
        <w:t xml:space="preserve"> </w:t>
      </w:r>
      <w:r w:rsidR="00A1395B">
        <w:rPr>
          <w:rFonts w:ascii="Arial" w:hAnsi="Arial" w:cs="Arial"/>
          <w:sz w:val="20"/>
          <w:szCs w:val="20"/>
        </w:rPr>
        <w:t xml:space="preserve">kvůli konkurenčnímu boji se není třeba obávat </w:t>
      </w:r>
      <w:r>
        <w:rPr>
          <w:rFonts w:ascii="Arial" w:hAnsi="Arial" w:cs="Arial"/>
          <w:sz w:val="20"/>
          <w:szCs w:val="20"/>
        </w:rPr>
        <w:t>dramatické</w:t>
      </w:r>
      <w:r w:rsidR="00A1395B">
        <w:rPr>
          <w:rFonts w:ascii="Arial" w:hAnsi="Arial" w:cs="Arial"/>
          <w:sz w:val="20"/>
          <w:szCs w:val="20"/>
        </w:rPr>
        <w:t>ho zdražování.</w:t>
      </w:r>
    </w:p>
    <w:p w14:paraId="28B9C1AB" w14:textId="57108B0F" w:rsidR="0034184F" w:rsidRPr="00A7360E" w:rsidRDefault="0034184F" w:rsidP="00E31346">
      <w:pPr>
        <w:rPr>
          <w:rFonts w:ascii="Arial" w:eastAsia="Times New Roman" w:hAnsi="Arial" w:cs="Arial"/>
          <w:sz w:val="20"/>
          <w:szCs w:val="20"/>
        </w:rPr>
      </w:pPr>
    </w:p>
    <w:p w14:paraId="44A7EBC6" w14:textId="07DF3174" w:rsidR="0034184F" w:rsidRPr="0034184F" w:rsidRDefault="0034184F" w:rsidP="0031712D">
      <w:pPr>
        <w:jc w:val="both"/>
        <w:rPr>
          <w:rFonts w:ascii="Arial" w:eastAsia="Times New Roman" w:hAnsi="Arial" w:cs="Arial"/>
          <w:sz w:val="20"/>
          <w:szCs w:val="20"/>
        </w:rPr>
      </w:pPr>
      <w:r w:rsidRPr="0034184F">
        <w:rPr>
          <w:rFonts w:ascii="Arial" w:eastAsia="Times New Roman" w:hAnsi="Arial" w:cs="Arial"/>
          <w:i/>
          <w:sz w:val="20"/>
          <w:szCs w:val="20"/>
        </w:rPr>
        <w:t xml:space="preserve">„Pokud se </w:t>
      </w:r>
      <w:r w:rsidR="00D472C6" w:rsidRPr="0034184F">
        <w:rPr>
          <w:rFonts w:ascii="Arial" w:eastAsia="Times New Roman" w:hAnsi="Arial" w:cs="Arial"/>
          <w:i/>
          <w:sz w:val="20"/>
          <w:szCs w:val="20"/>
        </w:rPr>
        <w:t xml:space="preserve">klient </w:t>
      </w:r>
      <w:r w:rsidRPr="0034184F">
        <w:rPr>
          <w:rFonts w:ascii="Arial" w:eastAsia="Times New Roman" w:hAnsi="Arial" w:cs="Arial"/>
          <w:i/>
          <w:sz w:val="20"/>
          <w:szCs w:val="20"/>
        </w:rPr>
        <w:t xml:space="preserve">rozhodne </w:t>
      </w:r>
      <w:r w:rsidR="00D472C6">
        <w:rPr>
          <w:rFonts w:ascii="Arial" w:eastAsia="Times New Roman" w:hAnsi="Arial" w:cs="Arial"/>
          <w:i/>
          <w:sz w:val="20"/>
          <w:szCs w:val="20"/>
        </w:rPr>
        <w:t xml:space="preserve">financovat nákup </w:t>
      </w:r>
      <w:r w:rsidR="00683F9A">
        <w:rPr>
          <w:rFonts w:ascii="Arial" w:eastAsia="Times New Roman" w:hAnsi="Arial" w:cs="Arial"/>
          <w:i/>
          <w:sz w:val="20"/>
          <w:szCs w:val="20"/>
        </w:rPr>
        <w:t>jakékoli</w:t>
      </w:r>
      <w:r w:rsidR="00D472C6">
        <w:rPr>
          <w:rFonts w:ascii="Arial" w:eastAsia="Times New Roman" w:hAnsi="Arial" w:cs="Arial"/>
          <w:i/>
          <w:sz w:val="20"/>
          <w:szCs w:val="20"/>
        </w:rPr>
        <w:t xml:space="preserve"> věci pomocí spotřebitelského</w:t>
      </w:r>
      <w:r w:rsidRPr="0034184F">
        <w:rPr>
          <w:rFonts w:ascii="Arial" w:eastAsia="Times New Roman" w:hAnsi="Arial" w:cs="Arial"/>
          <w:i/>
          <w:sz w:val="20"/>
          <w:szCs w:val="20"/>
        </w:rPr>
        <w:t xml:space="preserve"> úvěr</w:t>
      </w:r>
      <w:r w:rsidR="00D472C6">
        <w:rPr>
          <w:rFonts w:ascii="Arial" w:eastAsia="Times New Roman" w:hAnsi="Arial" w:cs="Arial"/>
          <w:i/>
          <w:sz w:val="20"/>
          <w:szCs w:val="20"/>
        </w:rPr>
        <w:t>u</w:t>
      </w:r>
      <w:r w:rsidRPr="0034184F">
        <w:rPr>
          <w:rFonts w:ascii="Arial" w:eastAsia="Times New Roman" w:hAnsi="Arial" w:cs="Arial"/>
          <w:i/>
          <w:sz w:val="20"/>
          <w:szCs w:val="20"/>
        </w:rPr>
        <w:t xml:space="preserve">, </w:t>
      </w:r>
      <w:r w:rsidR="00D472C6">
        <w:rPr>
          <w:rFonts w:ascii="Arial" w:eastAsia="Times New Roman" w:hAnsi="Arial" w:cs="Arial"/>
          <w:i/>
          <w:sz w:val="20"/>
          <w:szCs w:val="20"/>
        </w:rPr>
        <w:t xml:space="preserve">mělo by jít o věc, kterou nezbytně potřebuje. Vždy </w:t>
      </w:r>
      <w:r w:rsidRPr="0034184F">
        <w:rPr>
          <w:rFonts w:ascii="Arial" w:eastAsia="Times New Roman" w:hAnsi="Arial" w:cs="Arial"/>
          <w:i/>
          <w:sz w:val="20"/>
          <w:szCs w:val="20"/>
        </w:rPr>
        <w:t xml:space="preserve">doporučuji </w:t>
      </w:r>
      <w:r w:rsidR="00683F9A">
        <w:rPr>
          <w:rFonts w:ascii="Arial" w:eastAsia="Times New Roman" w:hAnsi="Arial" w:cs="Arial"/>
          <w:i/>
          <w:sz w:val="20"/>
          <w:szCs w:val="20"/>
        </w:rPr>
        <w:t xml:space="preserve">předem si </w:t>
      </w:r>
      <w:r w:rsidRPr="0034184F">
        <w:rPr>
          <w:rFonts w:ascii="Arial" w:eastAsia="Times New Roman" w:hAnsi="Arial" w:cs="Arial"/>
          <w:i/>
          <w:sz w:val="20"/>
          <w:szCs w:val="20"/>
        </w:rPr>
        <w:t xml:space="preserve">důkladně prostudovat smlouvu a všeobecné obchodní podmínky. Pokud </w:t>
      </w:r>
      <w:r w:rsidR="00D472C6">
        <w:rPr>
          <w:rFonts w:ascii="Arial" w:eastAsia="Times New Roman" w:hAnsi="Arial" w:cs="Arial"/>
          <w:i/>
          <w:sz w:val="20"/>
          <w:szCs w:val="20"/>
        </w:rPr>
        <w:t xml:space="preserve">klient </w:t>
      </w:r>
      <w:r w:rsidRPr="0034184F">
        <w:rPr>
          <w:rFonts w:ascii="Arial" w:eastAsia="Times New Roman" w:hAnsi="Arial" w:cs="Arial"/>
          <w:i/>
          <w:sz w:val="20"/>
          <w:szCs w:val="20"/>
        </w:rPr>
        <w:t xml:space="preserve">jakémukoli bodu nerozumí, </w:t>
      </w:r>
      <w:r w:rsidR="00683F9A">
        <w:rPr>
          <w:rFonts w:ascii="Arial" w:eastAsia="Times New Roman" w:hAnsi="Arial" w:cs="Arial"/>
          <w:i/>
          <w:sz w:val="20"/>
          <w:szCs w:val="20"/>
        </w:rPr>
        <w:t>měl by si</w:t>
      </w:r>
      <w:r w:rsidRPr="0034184F">
        <w:rPr>
          <w:rFonts w:ascii="Arial" w:eastAsia="Times New Roman" w:hAnsi="Arial" w:cs="Arial"/>
          <w:i/>
          <w:sz w:val="20"/>
          <w:szCs w:val="20"/>
        </w:rPr>
        <w:t xml:space="preserve"> vše nechat důkladně vysvětlit, ať již se zprostředkovatelem úvěru, nebo jeho poskytovatelem,“</w:t>
      </w:r>
      <w:r>
        <w:rPr>
          <w:rFonts w:ascii="Arial" w:eastAsia="Times New Roman" w:hAnsi="Arial" w:cs="Arial"/>
          <w:sz w:val="20"/>
          <w:szCs w:val="20"/>
        </w:rPr>
        <w:t xml:space="preserve"> radí </w:t>
      </w:r>
      <w:r w:rsidRPr="0034184F">
        <w:rPr>
          <w:rFonts w:ascii="Arial" w:eastAsia="Times New Roman" w:hAnsi="Arial" w:cs="Arial"/>
          <w:b/>
          <w:sz w:val="20"/>
          <w:szCs w:val="20"/>
        </w:rPr>
        <w:t>Pavel Hošek, ředitel OK POINTu v Mostu</w:t>
      </w:r>
      <w:r>
        <w:rPr>
          <w:rFonts w:ascii="Arial" w:eastAsia="Times New Roman" w:hAnsi="Arial" w:cs="Arial"/>
          <w:sz w:val="20"/>
          <w:szCs w:val="20"/>
        </w:rPr>
        <w:t>.</w:t>
      </w:r>
    </w:p>
    <w:p w14:paraId="10A930AF" w14:textId="77777777" w:rsidR="0034184F" w:rsidRDefault="0034184F" w:rsidP="00683F9A">
      <w:pPr>
        <w:jc w:val="both"/>
        <w:rPr>
          <w:rFonts w:ascii="Arial" w:hAnsi="Arial" w:cs="Arial"/>
          <w:color w:val="2526A9"/>
          <w:sz w:val="23"/>
          <w:szCs w:val="23"/>
          <w:shd w:val="clear" w:color="auto" w:fill="FFFFFF"/>
        </w:rPr>
      </w:pPr>
      <w:bookmarkStart w:id="0" w:name="_GoBack"/>
      <w:bookmarkEnd w:id="0"/>
    </w:p>
    <w:p w14:paraId="516CD412" w14:textId="2250F44B" w:rsidR="00D472C6" w:rsidRPr="00683F9A" w:rsidRDefault="00D472C6" w:rsidP="00683F9A">
      <w:pPr>
        <w:jc w:val="both"/>
        <w:rPr>
          <w:rFonts w:ascii="Arial" w:eastAsia="Times New Roman" w:hAnsi="Arial" w:cs="Arial"/>
          <w:i/>
          <w:sz w:val="20"/>
          <w:szCs w:val="20"/>
        </w:rPr>
      </w:pPr>
      <w:r>
        <w:rPr>
          <w:rFonts w:ascii="Arial" w:eastAsia="Times New Roman" w:hAnsi="Arial" w:cs="Arial"/>
          <w:sz w:val="20"/>
          <w:szCs w:val="20"/>
        </w:rPr>
        <w:t xml:space="preserve">S nástupem </w:t>
      </w:r>
      <w:r w:rsidR="00683F9A">
        <w:rPr>
          <w:rFonts w:ascii="Arial" w:eastAsia="Times New Roman" w:hAnsi="Arial" w:cs="Arial"/>
          <w:sz w:val="20"/>
          <w:szCs w:val="20"/>
        </w:rPr>
        <w:t>letního období</w:t>
      </w:r>
      <w:r>
        <w:rPr>
          <w:rFonts w:ascii="Arial" w:eastAsia="Times New Roman" w:hAnsi="Arial" w:cs="Arial"/>
          <w:sz w:val="20"/>
          <w:szCs w:val="20"/>
        </w:rPr>
        <w:t xml:space="preserve"> a současným rozvolňováním proticovidových opatření </w:t>
      </w:r>
      <w:r w:rsidR="00683F9A">
        <w:rPr>
          <w:rFonts w:ascii="Arial" w:eastAsia="Times New Roman" w:hAnsi="Arial" w:cs="Arial"/>
          <w:sz w:val="20"/>
          <w:szCs w:val="20"/>
        </w:rPr>
        <w:t xml:space="preserve">bohužel </w:t>
      </w:r>
      <w:r>
        <w:rPr>
          <w:rFonts w:ascii="Arial" w:eastAsia="Times New Roman" w:hAnsi="Arial" w:cs="Arial"/>
          <w:sz w:val="20"/>
          <w:szCs w:val="20"/>
        </w:rPr>
        <w:t xml:space="preserve">sílí potřeba mnoha Čechů pořídit si dovolenou na dluh. </w:t>
      </w:r>
      <w:r w:rsidRPr="0034184F">
        <w:rPr>
          <w:rFonts w:ascii="Arial" w:eastAsia="Times New Roman" w:hAnsi="Arial" w:cs="Arial"/>
          <w:i/>
          <w:sz w:val="20"/>
          <w:szCs w:val="20"/>
        </w:rPr>
        <w:t xml:space="preserve">„Dovolená na spotřebitelský úvěr je spolu s nákupem </w:t>
      </w:r>
      <w:r>
        <w:rPr>
          <w:rFonts w:ascii="Arial" w:eastAsia="Times New Roman" w:hAnsi="Arial" w:cs="Arial"/>
          <w:i/>
          <w:sz w:val="20"/>
          <w:szCs w:val="20"/>
        </w:rPr>
        <w:t xml:space="preserve">nákladných </w:t>
      </w:r>
      <w:r w:rsidRPr="0034184F">
        <w:rPr>
          <w:rFonts w:ascii="Arial" w:eastAsia="Times New Roman" w:hAnsi="Arial" w:cs="Arial"/>
          <w:i/>
          <w:sz w:val="20"/>
          <w:szCs w:val="20"/>
        </w:rPr>
        <w:t xml:space="preserve">dárků </w:t>
      </w:r>
      <w:r>
        <w:rPr>
          <w:rFonts w:ascii="Arial" w:eastAsia="Times New Roman" w:hAnsi="Arial" w:cs="Arial"/>
          <w:i/>
          <w:sz w:val="20"/>
          <w:szCs w:val="20"/>
        </w:rPr>
        <w:t xml:space="preserve">na splátky </w:t>
      </w:r>
      <w:r w:rsidRPr="0034184F">
        <w:rPr>
          <w:rFonts w:ascii="Arial" w:eastAsia="Times New Roman" w:hAnsi="Arial" w:cs="Arial"/>
          <w:i/>
          <w:sz w:val="20"/>
          <w:szCs w:val="20"/>
        </w:rPr>
        <w:t xml:space="preserve">asi nejhorší věc, kterou z pohledu správy financí může člověk udělat. </w:t>
      </w:r>
      <w:r>
        <w:rPr>
          <w:rFonts w:ascii="Arial" w:eastAsia="Times New Roman" w:hAnsi="Arial" w:cs="Arial"/>
          <w:i/>
          <w:sz w:val="20"/>
          <w:szCs w:val="20"/>
        </w:rPr>
        <w:t xml:space="preserve">Na krásnou dovolenou sice bude každý měsíc po výplatě rád </w:t>
      </w:r>
      <w:r w:rsidRPr="0034184F">
        <w:rPr>
          <w:rFonts w:ascii="Arial" w:eastAsia="Times New Roman" w:hAnsi="Arial" w:cs="Arial"/>
          <w:i/>
          <w:sz w:val="20"/>
          <w:szCs w:val="20"/>
        </w:rPr>
        <w:t xml:space="preserve">vzpomínat, </w:t>
      </w:r>
      <w:r>
        <w:rPr>
          <w:rFonts w:ascii="Arial" w:eastAsia="Times New Roman" w:hAnsi="Arial" w:cs="Arial"/>
          <w:i/>
          <w:sz w:val="20"/>
          <w:szCs w:val="20"/>
        </w:rPr>
        <w:t xml:space="preserve">ale </w:t>
      </w:r>
      <w:r w:rsidR="00683F9A">
        <w:rPr>
          <w:rFonts w:ascii="Arial" w:eastAsia="Times New Roman" w:hAnsi="Arial" w:cs="Arial"/>
          <w:i/>
          <w:sz w:val="20"/>
          <w:szCs w:val="20"/>
        </w:rPr>
        <w:t>vzpomín</w:t>
      </w:r>
      <w:r w:rsidR="00B67AF0">
        <w:rPr>
          <w:rFonts w:ascii="Arial" w:eastAsia="Times New Roman" w:hAnsi="Arial" w:cs="Arial"/>
          <w:i/>
          <w:sz w:val="20"/>
          <w:szCs w:val="20"/>
        </w:rPr>
        <w:t>kami</w:t>
      </w:r>
      <w:r w:rsidR="00683F9A">
        <w:rPr>
          <w:rFonts w:ascii="Arial" w:eastAsia="Times New Roman" w:hAnsi="Arial" w:cs="Arial"/>
          <w:i/>
          <w:sz w:val="20"/>
          <w:szCs w:val="20"/>
        </w:rPr>
        <w:t xml:space="preserve"> zhorše</w:t>
      </w:r>
      <w:r w:rsidR="00B67AF0">
        <w:rPr>
          <w:rFonts w:ascii="Arial" w:eastAsia="Times New Roman" w:hAnsi="Arial" w:cs="Arial"/>
          <w:i/>
          <w:sz w:val="20"/>
          <w:szCs w:val="20"/>
        </w:rPr>
        <w:t>nou</w:t>
      </w:r>
      <w:r w:rsidR="00683F9A">
        <w:rPr>
          <w:rFonts w:ascii="Arial" w:eastAsia="Times New Roman" w:hAnsi="Arial" w:cs="Arial"/>
          <w:i/>
          <w:sz w:val="20"/>
          <w:szCs w:val="20"/>
        </w:rPr>
        <w:t xml:space="preserve"> finanční situac</w:t>
      </w:r>
      <w:r w:rsidR="00B67AF0">
        <w:rPr>
          <w:rFonts w:ascii="Arial" w:eastAsia="Times New Roman" w:hAnsi="Arial" w:cs="Arial"/>
          <w:i/>
          <w:sz w:val="20"/>
          <w:szCs w:val="20"/>
        </w:rPr>
        <w:t>i celé rodiny na dalších několik let</w:t>
      </w:r>
      <w:r w:rsidR="00683F9A">
        <w:rPr>
          <w:rFonts w:ascii="Arial" w:eastAsia="Times New Roman" w:hAnsi="Arial" w:cs="Arial"/>
          <w:i/>
          <w:sz w:val="20"/>
          <w:szCs w:val="20"/>
        </w:rPr>
        <w:t xml:space="preserve"> nenapraví</w:t>
      </w:r>
      <w:r w:rsidRPr="0034184F">
        <w:rPr>
          <w:rFonts w:ascii="Arial" w:eastAsia="Times New Roman" w:hAnsi="Arial" w:cs="Arial"/>
          <w:i/>
          <w:sz w:val="20"/>
          <w:szCs w:val="20"/>
        </w:rPr>
        <w:t>,“</w:t>
      </w:r>
      <w:r>
        <w:rPr>
          <w:rFonts w:ascii="Arial" w:eastAsia="Times New Roman" w:hAnsi="Arial" w:cs="Arial"/>
          <w:sz w:val="20"/>
          <w:szCs w:val="20"/>
        </w:rPr>
        <w:t xml:space="preserve"> upozorňuje Martin Novák</w:t>
      </w:r>
      <w:r w:rsidRPr="00A7360E">
        <w:rPr>
          <w:rFonts w:ascii="Arial" w:eastAsia="Times New Roman" w:hAnsi="Arial" w:cs="Arial"/>
          <w:sz w:val="20"/>
          <w:szCs w:val="20"/>
        </w:rPr>
        <w:t>. </w:t>
      </w:r>
    </w:p>
    <w:p w14:paraId="5B65F4C9" w14:textId="3FED7744" w:rsidR="00860609" w:rsidRPr="00756A0A" w:rsidRDefault="00860609" w:rsidP="002C0240">
      <w:pPr>
        <w:jc w:val="both"/>
        <w:rPr>
          <w:rFonts w:asciiTheme="minorHAnsi" w:hAnsiTheme="minorHAnsi" w:cstheme="minorHAnsi"/>
          <w:sz w:val="20"/>
          <w:szCs w:val="20"/>
        </w:rPr>
      </w:pPr>
    </w:p>
    <w:p w14:paraId="4C0D8FF1" w14:textId="6447AE78" w:rsidR="00860609" w:rsidRDefault="001F2BE0" w:rsidP="00F5432C">
      <w:pPr>
        <w:jc w:val="both"/>
        <w:rPr>
          <w:rFonts w:ascii="Arial" w:hAnsi="Arial" w:cs="Arial"/>
          <w:b/>
          <w:bCs/>
          <w:sz w:val="20"/>
          <w:szCs w:val="20"/>
        </w:rPr>
      </w:pPr>
      <w:r>
        <w:rPr>
          <w:rFonts w:ascii="Arial" w:hAnsi="Arial" w:cs="Arial"/>
          <w:b/>
          <w:bCs/>
          <w:sz w:val="20"/>
          <w:szCs w:val="20"/>
        </w:rPr>
        <w:pict w14:anchorId="60196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41.65pt">
            <v:imagedata r:id="rId24" o:title="Graf BC Index spotrebitelskych uveru - kveten 2021"/>
          </v:shape>
        </w:pict>
      </w:r>
    </w:p>
    <w:p w14:paraId="36634C75" w14:textId="77777777" w:rsidR="00860609" w:rsidRDefault="00860609" w:rsidP="00F5432C">
      <w:pPr>
        <w:jc w:val="both"/>
        <w:rPr>
          <w:rFonts w:ascii="Arial" w:hAnsi="Arial" w:cs="Arial"/>
          <w:b/>
          <w:bCs/>
          <w:sz w:val="20"/>
          <w:szCs w:val="20"/>
        </w:rPr>
      </w:pPr>
    </w:p>
    <w:p w14:paraId="0A7DCA52" w14:textId="77777777" w:rsidR="0031712D" w:rsidRPr="00F51B95" w:rsidRDefault="0031712D" w:rsidP="0031712D">
      <w:pPr>
        <w:jc w:val="both"/>
        <w:rPr>
          <w:rFonts w:ascii="Arial" w:hAnsi="Arial" w:cs="Arial"/>
          <w:sz w:val="20"/>
          <w:szCs w:val="20"/>
        </w:rPr>
      </w:pPr>
      <w:r w:rsidRPr="00F51B95">
        <w:rPr>
          <w:rFonts w:ascii="Arial" w:hAnsi="Arial" w:cs="Arial"/>
          <w:sz w:val="20"/>
          <w:szCs w:val="20"/>
        </w:rPr>
        <w:t>Broker Consulting Index spotřebitelských úvěrů je analytický nástroj, který ukazuje průměrnou úrokovou sazbu 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55B9C9D2" w14:textId="5DBD961D" w:rsidR="0031712D" w:rsidRDefault="0031712D" w:rsidP="0031712D">
      <w:pPr>
        <w:tabs>
          <w:tab w:val="left" w:pos="7152"/>
        </w:tabs>
        <w:jc w:val="both"/>
        <w:rPr>
          <w:rFonts w:ascii="Arial" w:hAnsi="Arial" w:cs="Arial"/>
          <w:b/>
          <w:sz w:val="18"/>
          <w:szCs w:val="16"/>
        </w:rPr>
      </w:pPr>
      <w:r>
        <w:rPr>
          <w:rFonts w:ascii="Arial" w:hAnsi="Arial" w:cs="Arial"/>
          <w:b/>
          <w:sz w:val="18"/>
          <w:szCs w:val="16"/>
        </w:rPr>
        <w:tab/>
      </w:r>
    </w:p>
    <w:p w14:paraId="24855F8B" w14:textId="77777777" w:rsidR="00E31346" w:rsidRDefault="00E31346" w:rsidP="0031712D">
      <w:pPr>
        <w:jc w:val="both"/>
        <w:rPr>
          <w:rFonts w:ascii="Arial" w:hAnsi="Arial" w:cs="Arial"/>
          <w:b/>
          <w:sz w:val="18"/>
          <w:szCs w:val="16"/>
        </w:rPr>
      </w:pPr>
    </w:p>
    <w:p w14:paraId="787DBF02" w14:textId="77777777" w:rsidR="00E31346" w:rsidRDefault="00E31346" w:rsidP="0031712D">
      <w:pPr>
        <w:jc w:val="both"/>
        <w:rPr>
          <w:rFonts w:ascii="Arial" w:hAnsi="Arial" w:cs="Arial"/>
          <w:b/>
          <w:sz w:val="18"/>
          <w:szCs w:val="16"/>
        </w:rPr>
      </w:pPr>
    </w:p>
    <w:p w14:paraId="20CF399F" w14:textId="77777777" w:rsidR="00EB4785" w:rsidRDefault="00EB4785" w:rsidP="0031712D">
      <w:pPr>
        <w:jc w:val="both"/>
        <w:rPr>
          <w:rFonts w:ascii="Arial" w:hAnsi="Arial" w:cs="Arial"/>
          <w:b/>
          <w:sz w:val="18"/>
          <w:szCs w:val="16"/>
        </w:rPr>
      </w:pPr>
    </w:p>
    <w:p w14:paraId="538051E2" w14:textId="75AD9F8F" w:rsidR="0031712D" w:rsidRPr="00B244B9" w:rsidRDefault="0031712D" w:rsidP="0031712D">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hypoteční</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 xml:space="preserve">index).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3115C921" w14:textId="5AF3E4A8" w:rsidR="0031712D" w:rsidRDefault="0031712D" w:rsidP="0031712D">
      <w:pPr>
        <w:tabs>
          <w:tab w:val="center" w:pos="5225"/>
        </w:tabs>
        <w:jc w:val="both"/>
        <w:rPr>
          <w:rFonts w:ascii="Arial" w:hAnsi="Arial" w:cs="Arial"/>
          <w:b/>
          <w:sz w:val="18"/>
        </w:rPr>
      </w:pPr>
    </w:p>
    <w:p w14:paraId="2BD1B3AF" w14:textId="77777777" w:rsidR="0031712D" w:rsidRPr="00347557" w:rsidRDefault="0031712D" w:rsidP="0031712D">
      <w:pPr>
        <w:tabs>
          <w:tab w:val="center" w:pos="5225"/>
        </w:tabs>
        <w:jc w:val="both"/>
        <w:rPr>
          <w:rFonts w:ascii="Arial" w:hAnsi="Arial" w:cs="Arial"/>
          <w:b/>
          <w:sz w:val="18"/>
        </w:rPr>
      </w:pPr>
      <w:r>
        <w:rPr>
          <w:rFonts w:ascii="Arial" w:hAnsi="Arial" w:cs="Arial"/>
          <w:b/>
          <w:sz w:val="18"/>
        </w:rPr>
        <w:t>Proč je dobré I</w:t>
      </w:r>
      <w:r w:rsidRPr="00347557">
        <w:rPr>
          <w:rFonts w:ascii="Arial" w:hAnsi="Arial" w:cs="Arial"/>
          <w:b/>
          <w:sz w:val="18"/>
        </w:rPr>
        <w:t>ndex sledovat</w:t>
      </w:r>
      <w:r>
        <w:rPr>
          <w:rFonts w:ascii="Arial" w:hAnsi="Arial" w:cs="Arial"/>
          <w:b/>
          <w:sz w:val="18"/>
        </w:rPr>
        <w:tab/>
      </w:r>
    </w:p>
    <w:p w14:paraId="26E6F8FF" w14:textId="77777777" w:rsidR="0031712D" w:rsidRDefault="0031712D" w:rsidP="0031712D">
      <w:pPr>
        <w:jc w:val="both"/>
        <w:rPr>
          <w:sz w:val="20"/>
        </w:rPr>
      </w:pPr>
      <w:r w:rsidRPr="00347557">
        <w:rPr>
          <w:rFonts w:ascii="Arial" w:hAnsi="Arial" w:cs="Arial"/>
          <w:sz w:val="18"/>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05EB1FDD" w14:textId="77777777" w:rsidR="0031712D" w:rsidRDefault="0031712D" w:rsidP="0031712D">
      <w:pPr>
        <w:jc w:val="both"/>
        <w:rPr>
          <w:sz w:val="20"/>
        </w:rPr>
      </w:pPr>
    </w:p>
    <w:p w14:paraId="283210DE" w14:textId="77777777" w:rsidR="0031712D" w:rsidRDefault="0031712D" w:rsidP="0031712D">
      <w:pPr>
        <w:jc w:val="both"/>
        <w:rPr>
          <w:sz w:val="20"/>
        </w:rPr>
      </w:pPr>
    </w:p>
    <w:p w14:paraId="23BDD53D" w14:textId="77777777" w:rsidR="0031712D" w:rsidRDefault="0031712D" w:rsidP="0031712D">
      <w:pPr>
        <w:jc w:val="both"/>
        <w:rPr>
          <w:sz w:val="20"/>
        </w:rPr>
      </w:pPr>
    </w:p>
    <w:p w14:paraId="44AA4EAA" w14:textId="77777777" w:rsidR="0031712D" w:rsidRDefault="0031712D" w:rsidP="0031712D">
      <w:pPr>
        <w:jc w:val="both"/>
        <w:rPr>
          <w:sz w:val="20"/>
        </w:rPr>
      </w:pPr>
    </w:p>
    <w:p w14:paraId="5498B0DD" w14:textId="77777777" w:rsidR="0031712D" w:rsidRDefault="0031712D" w:rsidP="0031712D">
      <w:pPr>
        <w:jc w:val="both"/>
        <w:rPr>
          <w:sz w:val="20"/>
        </w:rPr>
      </w:pPr>
    </w:p>
    <w:p w14:paraId="00C5F7B7" w14:textId="77777777" w:rsidR="0031712D" w:rsidRDefault="0031712D" w:rsidP="0031712D">
      <w:pPr>
        <w:jc w:val="both"/>
        <w:rPr>
          <w:sz w:val="20"/>
        </w:rPr>
      </w:pPr>
    </w:p>
    <w:p w14:paraId="45BCCA66" w14:textId="77777777" w:rsidR="0031712D" w:rsidRDefault="0031712D" w:rsidP="0031712D">
      <w:pPr>
        <w:jc w:val="both"/>
        <w:rPr>
          <w:sz w:val="20"/>
        </w:rPr>
      </w:pPr>
    </w:p>
    <w:p w14:paraId="76AD7741" w14:textId="77777777" w:rsidR="0031712D" w:rsidRPr="00D60D98" w:rsidRDefault="0031712D" w:rsidP="0031712D">
      <w:pPr>
        <w:jc w:val="both"/>
        <w:rPr>
          <w:rFonts w:ascii="Arial" w:eastAsia="Calibri" w:hAnsi="Arial" w:cs="Arial"/>
          <w:b/>
          <w:bCs/>
          <w:noProof/>
          <w:sz w:val="20"/>
          <w:szCs w:val="20"/>
        </w:rPr>
      </w:pPr>
    </w:p>
    <w:p w14:paraId="77C4F9DD" w14:textId="77777777" w:rsidR="0031712D" w:rsidRDefault="0031712D" w:rsidP="0031712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5AB279DC" w14:textId="77777777" w:rsidR="0031712D" w:rsidRPr="002A6FA3" w:rsidRDefault="0031712D" w:rsidP="0031712D">
      <w:pPr>
        <w:rPr>
          <w:rFonts w:ascii="Arial" w:eastAsia="Calibri" w:hAnsi="Arial" w:cs="Arial"/>
          <w:b/>
          <w:bCs/>
          <w:noProof/>
          <w:sz w:val="18"/>
          <w:szCs w:val="18"/>
          <w:lang w:bidi="ar-SA"/>
        </w:rPr>
      </w:pPr>
      <w:r>
        <w:rPr>
          <w:sz w:val="20"/>
        </w:rPr>
        <w:br/>
      </w:r>
      <w:r w:rsidRPr="002A6FA3">
        <w:rPr>
          <w:rFonts w:ascii="Arial" w:eastAsia="Calibri" w:hAnsi="Arial" w:cs="Arial"/>
          <w:b/>
          <w:bCs/>
          <w:noProof/>
          <w:sz w:val="18"/>
          <w:szCs w:val="18"/>
        </w:rPr>
        <w:t>Tereza Kunová</w:t>
      </w:r>
    </w:p>
    <w:p w14:paraId="0BF9E064" w14:textId="77777777" w:rsidR="0031712D" w:rsidRPr="002A6FA3" w:rsidRDefault="0031712D" w:rsidP="0031712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0C220C49" w14:textId="77777777" w:rsidR="0031712D" w:rsidRPr="002A6FA3" w:rsidRDefault="0031712D" w:rsidP="0031712D">
      <w:pPr>
        <w:rPr>
          <w:rFonts w:ascii="Arial" w:eastAsia="Calibri" w:hAnsi="Arial" w:cs="Arial"/>
          <w:b/>
          <w:bCs/>
          <w:noProof/>
          <w:sz w:val="18"/>
          <w:szCs w:val="18"/>
        </w:rPr>
      </w:pPr>
      <w:r w:rsidRPr="002A6FA3">
        <w:rPr>
          <w:rFonts w:ascii="Arial" w:eastAsia="Calibri" w:hAnsi="Arial" w:cs="Arial"/>
          <w:b/>
          <w:bCs/>
          <w:noProof/>
          <w:sz w:val="18"/>
          <w:szCs w:val="18"/>
        </w:rPr>
        <w:t>Broker Consulting, a.s.,</w:t>
      </w:r>
    </w:p>
    <w:p w14:paraId="113E0997"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Office Park Nové Butovice (Budova B)</w:t>
      </w:r>
      <w:r w:rsidRPr="002A6FA3">
        <w:rPr>
          <w:rFonts w:ascii="Arial" w:eastAsia="Calibri" w:hAnsi="Arial" w:cs="Arial"/>
          <w:noProof/>
          <w:sz w:val="18"/>
          <w:szCs w:val="18"/>
        </w:rPr>
        <w:br/>
        <w:t>Bucharova 1423/6, 158 00 Praha 5</w:t>
      </w:r>
    </w:p>
    <w:p w14:paraId="14029AC2"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mobil: +420 731 537 716</w:t>
      </w:r>
    </w:p>
    <w:p w14:paraId="42F7C118"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 xml:space="preserve">e-mail: </w:t>
      </w:r>
      <w:hyperlink r:id="rId25" w:history="1">
        <w:r w:rsidRPr="002A6FA3">
          <w:rPr>
            <w:rStyle w:val="Hypertextovodkaz"/>
            <w:rFonts w:ascii="Arial" w:eastAsia="Calibri" w:hAnsi="Arial" w:cs="Arial"/>
            <w:noProof/>
            <w:sz w:val="18"/>
            <w:szCs w:val="18"/>
          </w:rPr>
          <w:t>tereza.kunova@bcas.cz</w:t>
        </w:r>
      </w:hyperlink>
      <w:r w:rsidRPr="002A6FA3">
        <w:rPr>
          <w:rFonts w:ascii="Arial" w:eastAsia="Calibri" w:hAnsi="Arial" w:cs="Arial"/>
          <w:noProof/>
          <w:sz w:val="18"/>
          <w:szCs w:val="18"/>
        </w:rPr>
        <w:t xml:space="preserve"> </w:t>
      </w:r>
    </w:p>
    <w:p w14:paraId="35B78D89" w14:textId="77777777" w:rsidR="0031712D" w:rsidRPr="009F59EE" w:rsidRDefault="0031712D" w:rsidP="0031712D">
      <w:pPr>
        <w:jc w:val="both"/>
        <w:rPr>
          <w:sz w:val="20"/>
        </w:rPr>
      </w:pPr>
    </w:p>
    <w:p w14:paraId="35F81D03" w14:textId="77777777" w:rsidR="0031712D" w:rsidRDefault="0031712D" w:rsidP="00F5432C">
      <w:pPr>
        <w:jc w:val="both"/>
        <w:rPr>
          <w:rFonts w:ascii="Arial" w:hAnsi="Arial" w:cs="Arial"/>
          <w:b/>
          <w:bCs/>
          <w:color w:val="FF0000"/>
          <w:sz w:val="20"/>
          <w:szCs w:val="20"/>
        </w:rPr>
      </w:pPr>
    </w:p>
    <w:p w14:paraId="703D546A" w14:textId="77777777" w:rsidR="002A6FA3" w:rsidRDefault="002A6FA3" w:rsidP="00A712B2">
      <w:pPr>
        <w:jc w:val="both"/>
        <w:rPr>
          <w:rFonts w:ascii="Arial" w:hAnsi="Arial" w:cs="Arial"/>
          <w:sz w:val="20"/>
          <w:szCs w:val="20"/>
        </w:rPr>
      </w:pPr>
    </w:p>
    <w:sectPr w:rsidR="002A6FA3"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59E50" w14:textId="77777777" w:rsidR="00F101B3" w:rsidRDefault="00F101B3">
      <w:r>
        <w:separator/>
      </w:r>
    </w:p>
  </w:endnote>
  <w:endnote w:type="continuationSeparator" w:id="0">
    <w:p w14:paraId="2683CFF4" w14:textId="77777777" w:rsidR="00F101B3" w:rsidRDefault="00F10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F101B3"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664867"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F101B3"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664867"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F101B3"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664867"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45D3D" w14:textId="77777777" w:rsidR="00F101B3" w:rsidRDefault="00F101B3">
      <w:r>
        <w:separator/>
      </w:r>
    </w:p>
  </w:footnote>
  <w:footnote w:type="continuationSeparator" w:id="0">
    <w:p w14:paraId="36A85D2C" w14:textId="77777777" w:rsidR="00F101B3" w:rsidRDefault="00F10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77777777" w:rsidR="00B65A3B" w:rsidRPr="00B65A3B" w:rsidRDefault="00B65A3B" w:rsidP="00B65A3B">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17A80"/>
    <w:rsid w:val="00020EC7"/>
    <w:rsid w:val="00022715"/>
    <w:rsid w:val="00026F23"/>
    <w:rsid w:val="000277AC"/>
    <w:rsid w:val="00032D94"/>
    <w:rsid w:val="000374D7"/>
    <w:rsid w:val="000400E4"/>
    <w:rsid w:val="00045B39"/>
    <w:rsid w:val="0005423A"/>
    <w:rsid w:val="000611E3"/>
    <w:rsid w:val="000766E7"/>
    <w:rsid w:val="00081616"/>
    <w:rsid w:val="000853D4"/>
    <w:rsid w:val="0009776B"/>
    <w:rsid w:val="000B0D84"/>
    <w:rsid w:val="000B2F39"/>
    <w:rsid w:val="000B5339"/>
    <w:rsid w:val="000C1853"/>
    <w:rsid w:val="000C4C77"/>
    <w:rsid w:val="000D14E2"/>
    <w:rsid w:val="000E3D86"/>
    <w:rsid w:val="000F6249"/>
    <w:rsid w:val="001069A1"/>
    <w:rsid w:val="00111C28"/>
    <w:rsid w:val="00112079"/>
    <w:rsid w:val="0013044E"/>
    <w:rsid w:val="00131A69"/>
    <w:rsid w:val="00137003"/>
    <w:rsid w:val="0013717C"/>
    <w:rsid w:val="00143EFE"/>
    <w:rsid w:val="00156082"/>
    <w:rsid w:val="00161D10"/>
    <w:rsid w:val="001675AF"/>
    <w:rsid w:val="001767A5"/>
    <w:rsid w:val="00180051"/>
    <w:rsid w:val="00192716"/>
    <w:rsid w:val="00193550"/>
    <w:rsid w:val="001A54DD"/>
    <w:rsid w:val="001B501B"/>
    <w:rsid w:val="001D015A"/>
    <w:rsid w:val="001D3DFC"/>
    <w:rsid w:val="001D4EA8"/>
    <w:rsid w:val="001E22F1"/>
    <w:rsid w:val="001E3FBF"/>
    <w:rsid w:val="001E4209"/>
    <w:rsid w:val="001F2BE0"/>
    <w:rsid w:val="001F7194"/>
    <w:rsid w:val="001F71BA"/>
    <w:rsid w:val="002141AF"/>
    <w:rsid w:val="0023469F"/>
    <w:rsid w:val="002368F3"/>
    <w:rsid w:val="002404A1"/>
    <w:rsid w:val="00241313"/>
    <w:rsid w:val="00242D4D"/>
    <w:rsid w:val="0024551C"/>
    <w:rsid w:val="0025264B"/>
    <w:rsid w:val="0025428A"/>
    <w:rsid w:val="00255182"/>
    <w:rsid w:val="00270DB3"/>
    <w:rsid w:val="002A3F19"/>
    <w:rsid w:val="002A6FA3"/>
    <w:rsid w:val="002A7325"/>
    <w:rsid w:val="002C0240"/>
    <w:rsid w:val="002C4A25"/>
    <w:rsid w:val="002D1619"/>
    <w:rsid w:val="002F002B"/>
    <w:rsid w:val="002F485A"/>
    <w:rsid w:val="002F7EC2"/>
    <w:rsid w:val="003028DB"/>
    <w:rsid w:val="00306FE1"/>
    <w:rsid w:val="00307E95"/>
    <w:rsid w:val="00310BEB"/>
    <w:rsid w:val="0031287A"/>
    <w:rsid w:val="003128F8"/>
    <w:rsid w:val="0031712D"/>
    <w:rsid w:val="00320455"/>
    <w:rsid w:val="00321E19"/>
    <w:rsid w:val="003247B0"/>
    <w:rsid w:val="00330918"/>
    <w:rsid w:val="0034184F"/>
    <w:rsid w:val="00342F85"/>
    <w:rsid w:val="00347557"/>
    <w:rsid w:val="00355366"/>
    <w:rsid w:val="003629B6"/>
    <w:rsid w:val="00370C35"/>
    <w:rsid w:val="003721AD"/>
    <w:rsid w:val="0037300C"/>
    <w:rsid w:val="00383DC5"/>
    <w:rsid w:val="00385EED"/>
    <w:rsid w:val="00390B58"/>
    <w:rsid w:val="00392024"/>
    <w:rsid w:val="003A1549"/>
    <w:rsid w:val="003A375A"/>
    <w:rsid w:val="003A43AB"/>
    <w:rsid w:val="003A6435"/>
    <w:rsid w:val="003B0E4F"/>
    <w:rsid w:val="003C0CBE"/>
    <w:rsid w:val="003D1987"/>
    <w:rsid w:val="003F79EC"/>
    <w:rsid w:val="004116FD"/>
    <w:rsid w:val="0042193A"/>
    <w:rsid w:val="00435342"/>
    <w:rsid w:val="00445D0A"/>
    <w:rsid w:val="00454843"/>
    <w:rsid w:val="00457FFE"/>
    <w:rsid w:val="00461BF2"/>
    <w:rsid w:val="004627B9"/>
    <w:rsid w:val="004678E9"/>
    <w:rsid w:val="00486655"/>
    <w:rsid w:val="004B5797"/>
    <w:rsid w:val="004C3F71"/>
    <w:rsid w:val="004F6195"/>
    <w:rsid w:val="0050659B"/>
    <w:rsid w:val="005153F7"/>
    <w:rsid w:val="005224C1"/>
    <w:rsid w:val="0053153F"/>
    <w:rsid w:val="00531C9F"/>
    <w:rsid w:val="00536954"/>
    <w:rsid w:val="00540606"/>
    <w:rsid w:val="00541870"/>
    <w:rsid w:val="005436EC"/>
    <w:rsid w:val="00544A37"/>
    <w:rsid w:val="00573886"/>
    <w:rsid w:val="00577D19"/>
    <w:rsid w:val="005907CD"/>
    <w:rsid w:val="005A37E5"/>
    <w:rsid w:val="005A4EB8"/>
    <w:rsid w:val="005A5BBA"/>
    <w:rsid w:val="005A5F08"/>
    <w:rsid w:val="005B31D7"/>
    <w:rsid w:val="005C150C"/>
    <w:rsid w:val="005D52F3"/>
    <w:rsid w:val="006135FD"/>
    <w:rsid w:val="006166CE"/>
    <w:rsid w:val="0062747C"/>
    <w:rsid w:val="0064160C"/>
    <w:rsid w:val="006509E8"/>
    <w:rsid w:val="0066135D"/>
    <w:rsid w:val="00664867"/>
    <w:rsid w:val="00667012"/>
    <w:rsid w:val="006768F0"/>
    <w:rsid w:val="00677078"/>
    <w:rsid w:val="00683F9A"/>
    <w:rsid w:val="0068617E"/>
    <w:rsid w:val="006902C0"/>
    <w:rsid w:val="00690415"/>
    <w:rsid w:val="00691527"/>
    <w:rsid w:val="006A2F6C"/>
    <w:rsid w:val="006A3BE2"/>
    <w:rsid w:val="006C5ED3"/>
    <w:rsid w:val="006C61E8"/>
    <w:rsid w:val="006D65EC"/>
    <w:rsid w:val="006E26DC"/>
    <w:rsid w:val="006F32FB"/>
    <w:rsid w:val="00705D83"/>
    <w:rsid w:val="00710E0C"/>
    <w:rsid w:val="0072112F"/>
    <w:rsid w:val="00725BF5"/>
    <w:rsid w:val="00771B91"/>
    <w:rsid w:val="007725B8"/>
    <w:rsid w:val="00772FF0"/>
    <w:rsid w:val="007824F4"/>
    <w:rsid w:val="00784109"/>
    <w:rsid w:val="00785FC5"/>
    <w:rsid w:val="0078631B"/>
    <w:rsid w:val="00791A2B"/>
    <w:rsid w:val="00792EE9"/>
    <w:rsid w:val="0079572A"/>
    <w:rsid w:val="007A1121"/>
    <w:rsid w:val="007A1122"/>
    <w:rsid w:val="007A15A6"/>
    <w:rsid w:val="007B152D"/>
    <w:rsid w:val="007B358E"/>
    <w:rsid w:val="007E5614"/>
    <w:rsid w:val="0080323F"/>
    <w:rsid w:val="0081387C"/>
    <w:rsid w:val="0083053E"/>
    <w:rsid w:val="00831B5E"/>
    <w:rsid w:val="00845A34"/>
    <w:rsid w:val="00860609"/>
    <w:rsid w:val="00883A3E"/>
    <w:rsid w:val="0088579E"/>
    <w:rsid w:val="00885B2F"/>
    <w:rsid w:val="00891E25"/>
    <w:rsid w:val="008926E5"/>
    <w:rsid w:val="008926F3"/>
    <w:rsid w:val="008A04D3"/>
    <w:rsid w:val="008C1795"/>
    <w:rsid w:val="008C3938"/>
    <w:rsid w:val="008C4B0D"/>
    <w:rsid w:val="008E1286"/>
    <w:rsid w:val="008E19F3"/>
    <w:rsid w:val="008F6AAF"/>
    <w:rsid w:val="00906E67"/>
    <w:rsid w:val="00915ADA"/>
    <w:rsid w:val="0092097A"/>
    <w:rsid w:val="009222C9"/>
    <w:rsid w:val="00932625"/>
    <w:rsid w:val="009344C2"/>
    <w:rsid w:val="0094705C"/>
    <w:rsid w:val="00957B41"/>
    <w:rsid w:val="009631E0"/>
    <w:rsid w:val="009A69B1"/>
    <w:rsid w:val="009A700C"/>
    <w:rsid w:val="009C0ECA"/>
    <w:rsid w:val="009C45BA"/>
    <w:rsid w:val="009D7493"/>
    <w:rsid w:val="009E317D"/>
    <w:rsid w:val="009E31C0"/>
    <w:rsid w:val="009E3B52"/>
    <w:rsid w:val="009F2CB2"/>
    <w:rsid w:val="009F59EE"/>
    <w:rsid w:val="00A069E2"/>
    <w:rsid w:val="00A07639"/>
    <w:rsid w:val="00A11C90"/>
    <w:rsid w:val="00A1395B"/>
    <w:rsid w:val="00A16E82"/>
    <w:rsid w:val="00A252BA"/>
    <w:rsid w:val="00A36D79"/>
    <w:rsid w:val="00A41EA4"/>
    <w:rsid w:val="00A44FE0"/>
    <w:rsid w:val="00A4618A"/>
    <w:rsid w:val="00A712B2"/>
    <w:rsid w:val="00A7796E"/>
    <w:rsid w:val="00AA6E6D"/>
    <w:rsid w:val="00AB50FF"/>
    <w:rsid w:val="00AC614D"/>
    <w:rsid w:val="00AD1F39"/>
    <w:rsid w:val="00B11974"/>
    <w:rsid w:val="00B12CF8"/>
    <w:rsid w:val="00B244B9"/>
    <w:rsid w:val="00B27178"/>
    <w:rsid w:val="00B310C3"/>
    <w:rsid w:val="00B43ABC"/>
    <w:rsid w:val="00B51125"/>
    <w:rsid w:val="00B52CDF"/>
    <w:rsid w:val="00B60D60"/>
    <w:rsid w:val="00B65A3B"/>
    <w:rsid w:val="00B67AF0"/>
    <w:rsid w:val="00B83D7B"/>
    <w:rsid w:val="00B94E88"/>
    <w:rsid w:val="00B95BB2"/>
    <w:rsid w:val="00B95EBA"/>
    <w:rsid w:val="00BA23D8"/>
    <w:rsid w:val="00BB4D49"/>
    <w:rsid w:val="00BB6439"/>
    <w:rsid w:val="00BB675F"/>
    <w:rsid w:val="00BC3E08"/>
    <w:rsid w:val="00BD17B0"/>
    <w:rsid w:val="00BD5A47"/>
    <w:rsid w:val="00BD5FB6"/>
    <w:rsid w:val="00C03192"/>
    <w:rsid w:val="00C23E32"/>
    <w:rsid w:val="00C251C4"/>
    <w:rsid w:val="00C314C1"/>
    <w:rsid w:val="00C31917"/>
    <w:rsid w:val="00C42FAF"/>
    <w:rsid w:val="00C863A3"/>
    <w:rsid w:val="00C864DC"/>
    <w:rsid w:val="00C94EEA"/>
    <w:rsid w:val="00CA1722"/>
    <w:rsid w:val="00CB1227"/>
    <w:rsid w:val="00CB1255"/>
    <w:rsid w:val="00CB18B1"/>
    <w:rsid w:val="00CB38CA"/>
    <w:rsid w:val="00CB66A2"/>
    <w:rsid w:val="00CB6F2B"/>
    <w:rsid w:val="00CC1067"/>
    <w:rsid w:val="00CD3324"/>
    <w:rsid w:val="00CD6162"/>
    <w:rsid w:val="00CE6C6E"/>
    <w:rsid w:val="00D01832"/>
    <w:rsid w:val="00D04527"/>
    <w:rsid w:val="00D21C96"/>
    <w:rsid w:val="00D30854"/>
    <w:rsid w:val="00D31127"/>
    <w:rsid w:val="00D4539F"/>
    <w:rsid w:val="00D472C6"/>
    <w:rsid w:val="00D6041B"/>
    <w:rsid w:val="00D60D98"/>
    <w:rsid w:val="00D80B6D"/>
    <w:rsid w:val="00D80CAD"/>
    <w:rsid w:val="00D8513A"/>
    <w:rsid w:val="00D85BBB"/>
    <w:rsid w:val="00D90628"/>
    <w:rsid w:val="00D930E7"/>
    <w:rsid w:val="00D93D7A"/>
    <w:rsid w:val="00D9690A"/>
    <w:rsid w:val="00DA08E6"/>
    <w:rsid w:val="00DA7B87"/>
    <w:rsid w:val="00DB63D9"/>
    <w:rsid w:val="00DB7E77"/>
    <w:rsid w:val="00DC30D0"/>
    <w:rsid w:val="00E00DC6"/>
    <w:rsid w:val="00E01A0A"/>
    <w:rsid w:val="00E058A3"/>
    <w:rsid w:val="00E151F3"/>
    <w:rsid w:val="00E17539"/>
    <w:rsid w:val="00E31346"/>
    <w:rsid w:val="00E57F9B"/>
    <w:rsid w:val="00E6726D"/>
    <w:rsid w:val="00E81433"/>
    <w:rsid w:val="00E81C95"/>
    <w:rsid w:val="00E852A3"/>
    <w:rsid w:val="00E93958"/>
    <w:rsid w:val="00EA01CC"/>
    <w:rsid w:val="00EA0C1C"/>
    <w:rsid w:val="00EA3819"/>
    <w:rsid w:val="00EA477A"/>
    <w:rsid w:val="00EB4785"/>
    <w:rsid w:val="00EC7F0E"/>
    <w:rsid w:val="00ED2D1F"/>
    <w:rsid w:val="00ED58E9"/>
    <w:rsid w:val="00ED79D6"/>
    <w:rsid w:val="00EE1831"/>
    <w:rsid w:val="00EE6922"/>
    <w:rsid w:val="00EF1AE7"/>
    <w:rsid w:val="00EF2F7C"/>
    <w:rsid w:val="00F101B3"/>
    <w:rsid w:val="00F14982"/>
    <w:rsid w:val="00F20D55"/>
    <w:rsid w:val="00F2598D"/>
    <w:rsid w:val="00F336A2"/>
    <w:rsid w:val="00F44AEB"/>
    <w:rsid w:val="00F45620"/>
    <w:rsid w:val="00F51B95"/>
    <w:rsid w:val="00F5432C"/>
    <w:rsid w:val="00F5470D"/>
    <w:rsid w:val="00F82DDB"/>
    <w:rsid w:val="00F83CDB"/>
    <w:rsid w:val="00F9173C"/>
    <w:rsid w:val="00FA1C73"/>
    <w:rsid w:val="00FB18D0"/>
    <w:rsid w:val="00FB2ED6"/>
    <w:rsid w:val="00FB53F1"/>
    <w:rsid w:val="00FC2522"/>
    <w:rsid w:val="00FC5B56"/>
    <w:rsid w:val="00FD4B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E59A3-BEA0-4CA6-873B-A85375686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899</Words>
  <Characters>5308</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20</cp:revision>
  <dcterms:created xsi:type="dcterms:W3CDTF">2021-05-26T15:36:00Z</dcterms:created>
  <dcterms:modified xsi:type="dcterms:W3CDTF">2021-06-28T14:05:00Z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