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FC2522" w:rsidRDefault="00D80B6D">
          <w:pPr>
            <w:rPr>
              <w:highlight w:val="yellow"/>
            </w:rPr>
          </w:pPr>
        </w:p>
        <w:p w14:paraId="7ED014A1" w14:textId="77777777" w:rsidR="00D80B6D" w:rsidRPr="00FC2522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  <w:highlight w:val="yellow"/>
            </w:rPr>
          </w:pPr>
        </w:p>
        <w:p w14:paraId="0FB45B67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HYPOTEČNÍCH ÚVĚRŮ </w:t>
          </w:r>
          <w:r w:rsidRPr="004B5797">
            <w:rPr>
              <w:rFonts w:ascii="Arial" w:hAnsi="Arial" w:cs="Arial"/>
              <w:color w:val="CD1719"/>
              <w:sz w:val="24"/>
            </w:rPr>
            <w:t xml:space="preserve">| 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FIXINDEX </w:t>
          </w:r>
        </w:p>
        <w:p w14:paraId="15233C16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b/>
              <w:color w:val="1D1D1B"/>
              <w:sz w:val="24"/>
            </w:rPr>
            <w:t>INDEX PODÍLOVÝCH FONDŮ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</w:t>
          </w:r>
          <w:r w:rsidRPr="004B5797">
            <w:rPr>
              <w:rFonts w:ascii="Arial" w:hAnsi="Arial" w:cs="Arial"/>
              <w:color w:val="CD1719"/>
              <w:sz w:val="24"/>
            </w:rPr>
            <w:t>|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INDEX TYPICKÉHO INVESTORA </w:t>
          </w:r>
        </w:p>
        <w:p w14:paraId="03C4DE47" w14:textId="77777777" w:rsidR="0009776B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VOLNÝCH PENĚZ DOMÁCNOSTÍ </w:t>
          </w:r>
        </w:p>
        <w:p w14:paraId="32900BCE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POV INDEX </w:t>
          </w:r>
        </w:p>
        <w:p w14:paraId="5B21B8A6" w14:textId="77777777" w:rsidR="00D80B6D" w:rsidRPr="009F2CEE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9F2CEE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37B597D7" w14:textId="77777777" w:rsidR="00032D94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FINANČNÍ GRAMOTNOSTI </w:t>
          </w:r>
        </w:p>
        <w:p w14:paraId="4C8EDD49" w14:textId="77777777" w:rsidR="00D80B6D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>INDEX OČEKÁVANÝCH CEN PŘI PRODEJI NEMOVITOSTI</w:t>
          </w:r>
        </w:p>
        <w:p w14:paraId="1FCC0C9E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20CCDBB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  <w:r w:rsidRPr="00FC2522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  <w:highlight w:val="yellow"/>
            </w:rPr>
          </w:pPr>
        </w:p>
        <w:p w14:paraId="5193A52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FC2522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FC2522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FC2522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3891EFEA" w:rsidR="00792EE9" w:rsidRPr="00FC2522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FC2522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>
            <w:rPr>
              <w:rFonts w:ascii="Arial" w:hAnsi="Arial" w:cs="Arial"/>
              <w:sz w:val="18"/>
            </w:rPr>
            <w:t>40</w:t>
          </w:r>
          <w:r w:rsidRPr="00FC2522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</w:t>
          </w:r>
          <w:proofErr w:type="spellStart"/>
          <w:r w:rsidRPr="00FC2522">
            <w:rPr>
              <w:rFonts w:ascii="Arial" w:hAnsi="Arial" w:cs="Arial"/>
              <w:sz w:val="18"/>
            </w:rPr>
            <w:t>mBank</w:t>
          </w:r>
          <w:proofErr w:type="spellEnd"/>
          <w:r w:rsidRPr="00FC2522">
            <w:rPr>
              <w:rFonts w:ascii="Arial" w:hAnsi="Arial" w:cs="Arial"/>
              <w:sz w:val="18"/>
            </w:rPr>
            <w:t xml:space="preserve"> a MONETA Money Bank.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bcas.cz</w:t>
            </w:r>
          </w:hyperlink>
          <w:r w:rsidRPr="007B232E">
            <w:rPr>
              <w:rStyle w:val="Hypertextovodkaz"/>
              <w:rFonts w:ascii="Arial" w:hAnsi="Arial" w:cs="Arial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okpointy.cz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okpoint.tv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realityspolu.cz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.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4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LinkedIN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6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</w:t>
            </w:r>
          </w:hyperlink>
          <w:r w:rsidRPr="007B232E">
            <w:rPr>
              <w:rStyle w:val="Hypertextovodkaz"/>
              <w:rFonts w:ascii="Arial" w:hAnsi="Arial" w:cs="Arial"/>
              <w:color w:val="0066FF"/>
              <w:sz w:val="18"/>
              <w:szCs w:val="18"/>
            </w:rPr>
            <w:t>N</w:t>
          </w:r>
          <w:r w:rsidRPr="007B232E">
            <w:rPr>
              <w:rStyle w:val="dn"/>
              <w:rFonts w:ascii="Arial" w:hAnsi="Arial" w:cs="Arial"/>
              <w:color w:val="0066FF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OK POINTů. </w:t>
          </w:r>
        </w:p>
        <w:p w14:paraId="3F0EC976" w14:textId="3496D289" w:rsidR="00D80B6D" w:rsidRPr="00FC2522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FC2522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  <w:bookmarkStart w:id="0" w:name="_GoBack"/>
          <w:bookmarkEnd w:id="0"/>
        </w:p>
        <w:p w14:paraId="35539C65" w14:textId="1251B28C" w:rsidR="00D31127" w:rsidRPr="00FC2522" w:rsidRDefault="00245954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FC2522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Default="00CC580E" w:rsidP="00EC73D3">
      <w:pPr>
        <w:jc w:val="center"/>
        <w:rPr>
          <w:rFonts w:ascii="Arial" w:hAnsi="Arial" w:cs="Arial"/>
          <w:b/>
          <w:sz w:val="28"/>
          <w:szCs w:val="28"/>
        </w:rPr>
      </w:pPr>
    </w:p>
    <w:p w14:paraId="5BA4F391" w14:textId="26D47A77" w:rsidR="00EC73D3" w:rsidRDefault="00ED2D1F" w:rsidP="00EC73D3">
      <w:pPr>
        <w:jc w:val="center"/>
        <w:rPr>
          <w:rFonts w:ascii="Arial" w:hAnsi="Arial" w:cs="Arial"/>
          <w:b/>
          <w:sz w:val="28"/>
          <w:szCs w:val="28"/>
        </w:rPr>
      </w:pPr>
      <w:r w:rsidRPr="00122CD1">
        <w:rPr>
          <w:rFonts w:ascii="Arial" w:hAnsi="Arial" w:cs="Arial"/>
          <w:b/>
          <w:sz w:val="28"/>
          <w:szCs w:val="28"/>
        </w:rPr>
        <w:t xml:space="preserve">Broker Consulting Index </w:t>
      </w:r>
      <w:r w:rsidR="00982987" w:rsidRPr="00122CD1">
        <w:rPr>
          <w:rFonts w:ascii="Arial" w:hAnsi="Arial" w:cs="Arial"/>
          <w:b/>
          <w:sz w:val="28"/>
          <w:szCs w:val="28"/>
        </w:rPr>
        <w:t>podílových fondů</w:t>
      </w:r>
      <w:r w:rsidR="00EC73D3">
        <w:rPr>
          <w:rFonts w:ascii="Arial" w:hAnsi="Arial" w:cs="Arial"/>
          <w:b/>
          <w:sz w:val="28"/>
          <w:szCs w:val="28"/>
        </w:rPr>
        <w:t>:</w:t>
      </w:r>
      <w:r w:rsidR="00E909E2">
        <w:rPr>
          <w:rFonts w:ascii="Arial" w:hAnsi="Arial" w:cs="Arial"/>
          <w:b/>
          <w:sz w:val="28"/>
          <w:szCs w:val="28"/>
        </w:rPr>
        <w:t xml:space="preserve"> </w:t>
      </w:r>
    </w:p>
    <w:p w14:paraId="11F162CA" w14:textId="7DA71808" w:rsidR="00C23E32" w:rsidRPr="0026621E" w:rsidRDefault="00D21E1C" w:rsidP="00EC73D3">
      <w:pPr>
        <w:jc w:val="center"/>
        <w:rPr>
          <w:rFonts w:ascii="Arial" w:hAnsi="Arial" w:cs="Arial"/>
          <w:b/>
          <w:sz w:val="28"/>
          <w:szCs w:val="28"/>
        </w:rPr>
      </w:pPr>
      <w:r w:rsidRPr="0026621E">
        <w:rPr>
          <w:rFonts w:ascii="Arial" w:hAnsi="Arial" w:cs="Arial"/>
          <w:b/>
          <w:sz w:val="28"/>
          <w:szCs w:val="28"/>
        </w:rPr>
        <w:t>Květnovým</w:t>
      </w:r>
      <w:r w:rsidR="0026621E" w:rsidRPr="0026621E">
        <w:rPr>
          <w:rFonts w:ascii="Arial" w:hAnsi="Arial" w:cs="Arial"/>
          <w:b/>
          <w:sz w:val="28"/>
          <w:szCs w:val="28"/>
        </w:rPr>
        <w:t>i</w:t>
      </w:r>
      <w:r w:rsidRPr="0026621E">
        <w:rPr>
          <w:rFonts w:ascii="Arial" w:hAnsi="Arial" w:cs="Arial"/>
          <w:b/>
          <w:sz w:val="28"/>
          <w:szCs w:val="28"/>
        </w:rPr>
        <w:t xml:space="preserve"> vítěz</w:t>
      </w:r>
      <w:r w:rsidR="0026621E" w:rsidRPr="0026621E">
        <w:rPr>
          <w:rFonts w:ascii="Arial" w:hAnsi="Arial" w:cs="Arial"/>
          <w:b/>
          <w:sz w:val="28"/>
          <w:szCs w:val="28"/>
        </w:rPr>
        <w:t>i</w:t>
      </w:r>
      <w:r w:rsidRPr="0026621E">
        <w:rPr>
          <w:rFonts w:ascii="Arial" w:hAnsi="Arial" w:cs="Arial"/>
          <w:b/>
          <w:sz w:val="28"/>
          <w:szCs w:val="28"/>
        </w:rPr>
        <w:t xml:space="preserve"> jsou komoditní </w:t>
      </w:r>
      <w:r w:rsidR="0026621E" w:rsidRPr="0026621E">
        <w:rPr>
          <w:rFonts w:ascii="Arial" w:hAnsi="Arial" w:cs="Arial"/>
          <w:b/>
          <w:sz w:val="28"/>
          <w:szCs w:val="28"/>
        </w:rPr>
        <w:t xml:space="preserve">a akciové </w:t>
      </w:r>
      <w:r w:rsidRPr="0026621E">
        <w:rPr>
          <w:rFonts w:ascii="Arial" w:hAnsi="Arial" w:cs="Arial"/>
          <w:b/>
          <w:sz w:val="28"/>
          <w:szCs w:val="28"/>
        </w:rPr>
        <w:t xml:space="preserve">fondy, </w:t>
      </w:r>
      <w:r w:rsidR="0026621E" w:rsidRPr="0026621E">
        <w:rPr>
          <w:rFonts w:ascii="Arial" w:hAnsi="Arial" w:cs="Arial"/>
          <w:b/>
          <w:sz w:val="28"/>
          <w:szCs w:val="28"/>
        </w:rPr>
        <w:t xml:space="preserve">ostatní fondy po krátkodobém růstu opět ztratily </w:t>
      </w:r>
    </w:p>
    <w:p w14:paraId="7467897D" w14:textId="4CCE2F85" w:rsidR="00C23E32" w:rsidRPr="00CC5BA3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1908A627" w14:textId="0BE90460" w:rsidR="00D21E1C" w:rsidRDefault="00CC5BA3" w:rsidP="0026621E">
      <w:pPr>
        <w:jc w:val="both"/>
        <w:rPr>
          <w:rFonts w:ascii="Arial" w:hAnsi="Arial" w:cs="Arial"/>
          <w:sz w:val="20"/>
          <w:szCs w:val="20"/>
        </w:rPr>
      </w:pPr>
      <w:r w:rsidRPr="00D17C70">
        <w:rPr>
          <w:rFonts w:ascii="Arial" w:hAnsi="Arial" w:cs="Arial"/>
          <w:i/>
          <w:sz w:val="20"/>
          <w:szCs w:val="20"/>
        </w:rPr>
        <w:t xml:space="preserve">Praha, </w:t>
      </w:r>
      <w:r w:rsidR="00D17C70" w:rsidRPr="00D17C70">
        <w:rPr>
          <w:rFonts w:ascii="Arial" w:hAnsi="Arial" w:cs="Arial"/>
          <w:i/>
          <w:sz w:val="20"/>
          <w:szCs w:val="20"/>
        </w:rPr>
        <w:t>10</w:t>
      </w:r>
      <w:r w:rsidR="00D21E1C" w:rsidRPr="00D17C70">
        <w:rPr>
          <w:rFonts w:ascii="Arial" w:hAnsi="Arial" w:cs="Arial"/>
          <w:i/>
          <w:sz w:val="20"/>
          <w:szCs w:val="20"/>
        </w:rPr>
        <w:t>. června</w:t>
      </w:r>
      <w:r w:rsidRPr="00D17C70">
        <w:rPr>
          <w:rFonts w:ascii="Arial" w:hAnsi="Arial" w:cs="Arial"/>
          <w:i/>
          <w:sz w:val="20"/>
          <w:szCs w:val="20"/>
        </w:rPr>
        <w:t xml:space="preserve"> 2021</w:t>
      </w:r>
      <w:r w:rsidRPr="00CC5BA3">
        <w:rPr>
          <w:rFonts w:ascii="Arial" w:hAnsi="Arial" w:cs="Arial"/>
          <w:i/>
          <w:sz w:val="20"/>
          <w:szCs w:val="20"/>
        </w:rPr>
        <w:t xml:space="preserve"> –</w:t>
      </w:r>
      <w:r w:rsidR="0026621E">
        <w:rPr>
          <w:rFonts w:ascii="Arial" w:hAnsi="Arial" w:cs="Arial"/>
          <w:b/>
          <w:sz w:val="20"/>
          <w:szCs w:val="20"/>
        </w:rPr>
        <w:t xml:space="preserve"> </w:t>
      </w:r>
      <w:r w:rsidR="00D21E1C" w:rsidRPr="00D21E1C">
        <w:rPr>
          <w:rFonts w:ascii="Arial" w:hAnsi="Arial" w:cs="Arial"/>
          <w:b/>
          <w:sz w:val="20"/>
          <w:szCs w:val="20"/>
        </w:rPr>
        <w:t>Broker Consulting Index</w:t>
      </w:r>
      <w:r w:rsidR="00DC3F71" w:rsidRPr="00D21E1C">
        <w:rPr>
          <w:rFonts w:ascii="Arial" w:hAnsi="Arial" w:cs="Arial"/>
          <w:b/>
          <w:sz w:val="20"/>
          <w:szCs w:val="20"/>
        </w:rPr>
        <w:t xml:space="preserve"> podílových fondů </w:t>
      </w:r>
      <w:r w:rsidR="0026621E">
        <w:rPr>
          <w:rFonts w:ascii="Arial" w:hAnsi="Arial" w:cs="Arial"/>
          <w:b/>
          <w:sz w:val="20"/>
          <w:szCs w:val="20"/>
        </w:rPr>
        <w:t>v</w:t>
      </w:r>
      <w:r w:rsidR="0071058C">
        <w:rPr>
          <w:rFonts w:ascii="Arial" w:hAnsi="Arial" w:cs="Arial"/>
          <w:b/>
          <w:sz w:val="20"/>
          <w:szCs w:val="20"/>
        </w:rPr>
        <w:t xml:space="preserve"> měsíci </w:t>
      </w:r>
      <w:r w:rsidR="0026621E">
        <w:rPr>
          <w:rFonts w:ascii="Arial" w:hAnsi="Arial" w:cs="Arial"/>
          <w:b/>
          <w:sz w:val="20"/>
          <w:szCs w:val="20"/>
        </w:rPr>
        <w:t xml:space="preserve">květnu </w:t>
      </w:r>
      <w:r w:rsidR="0071058C">
        <w:rPr>
          <w:rFonts w:ascii="Arial" w:hAnsi="Arial" w:cs="Arial"/>
          <w:b/>
          <w:sz w:val="20"/>
          <w:szCs w:val="20"/>
        </w:rPr>
        <w:t xml:space="preserve">již </w:t>
      </w:r>
      <w:r w:rsidR="00D21E1C" w:rsidRPr="00D21E1C">
        <w:rPr>
          <w:rFonts w:ascii="Arial" w:hAnsi="Arial" w:cs="Arial"/>
          <w:b/>
          <w:sz w:val="20"/>
          <w:szCs w:val="20"/>
        </w:rPr>
        <w:t xml:space="preserve">nepřinesl </w:t>
      </w:r>
      <w:r w:rsidR="00DC3F71" w:rsidRPr="00D21E1C">
        <w:rPr>
          <w:rFonts w:ascii="Arial" w:hAnsi="Arial" w:cs="Arial"/>
          <w:b/>
          <w:sz w:val="20"/>
          <w:szCs w:val="20"/>
        </w:rPr>
        <w:t>tak příznivé</w:t>
      </w:r>
      <w:r w:rsidR="00D21E1C" w:rsidRPr="00D21E1C">
        <w:rPr>
          <w:rFonts w:ascii="Arial" w:hAnsi="Arial" w:cs="Arial"/>
          <w:b/>
          <w:sz w:val="20"/>
          <w:szCs w:val="20"/>
        </w:rPr>
        <w:t xml:space="preserve"> výsledky u všech sledovaných fondů, jak tomu bylo v dubnu. Posílily pouze akciové a ko</w:t>
      </w:r>
      <w:r w:rsidR="0071058C">
        <w:rPr>
          <w:rFonts w:ascii="Arial" w:hAnsi="Arial" w:cs="Arial"/>
          <w:b/>
          <w:sz w:val="20"/>
          <w:szCs w:val="20"/>
        </w:rPr>
        <w:t>moditní fondy, kterým se daří u</w:t>
      </w:r>
      <w:r w:rsidR="00D21E1C" w:rsidRPr="00D21E1C">
        <w:rPr>
          <w:rFonts w:ascii="Arial" w:hAnsi="Arial" w:cs="Arial"/>
          <w:b/>
          <w:sz w:val="20"/>
          <w:szCs w:val="20"/>
        </w:rPr>
        <w:t>ž od začátku tohoto roku. Komoditní fondy jsou také jednoznačným vítězem měsíce, za který si připsaly 2,60 %. Naopak nemovitostní, dluhopisové fondy a fondy peněžního trhu zaznamenaly v květnu zápornou nulu.</w:t>
      </w:r>
    </w:p>
    <w:p w14:paraId="0EE61923" w14:textId="77777777" w:rsidR="00B75627" w:rsidRDefault="00B75627" w:rsidP="0026621E">
      <w:pPr>
        <w:jc w:val="both"/>
        <w:rPr>
          <w:rFonts w:ascii="Arial" w:hAnsi="Arial" w:cs="Arial"/>
          <w:i/>
          <w:color w:val="FF0000"/>
          <w:sz w:val="20"/>
          <w:szCs w:val="20"/>
        </w:rPr>
      </w:pPr>
    </w:p>
    <w:p w14:paraId="36EF8F2A" w14:textId="1D07322A" w:rsidR="005F0E46" w:rsidRDefault="009D05AD" w:rsidP="0026621E">
      <w:pPr>
        <w:jc w:val="both"/>
        <w:rPr>
          <w:rFonts w:ascii="Arial" w:hAnsi="Arial" w:cs="Arial"/>
          <w:sz w:val="20"/>
          <w:szCs w:val="20"/>
        </w:rPr>
      </w:pPr>
      <w:r w:rsidRPr="009D05AD">
        <w:rPr>
          <w:rFonts w:ascii="Arial" w:hAnsi="Arial" w:cs="Arial"/>
          <w:i/>
          <w:sz w:val="20"/>
          <w:szCs w:val="20"/>
        </w:rPr>
        <w:t>„</w:t>
      </w:r>
      <w:r w:rsidR="005F0E46" w:rsidRPr="009D05AD">
        <w:rPr>
          <w:rFonts w:ascii="Arial" w:hAnsi="Arial" w:cs="Arial"/>
          <w:i/>
          <w:sz w:val="20"/>
          <w:szCs w:val="20"/>
        </w:rPr>
        <w:t xml:space="preserve">Květen se nesl ve znamení masivního rozvolňování a rozšíření možnosti </w:t>
      </w:r>
      <w:proofErr w:type="spellStart"/>
      <w:r w:rsidR="00A11C0F" w:rsidRPr="009D05AD">
        <w:rPr>
          <w:rFonts w:ascii="Arial" w:hAnsi="Arial" w:cs="Arial"/>
          <w:i/>
          <w:sz w:val="20"/>
          <w:szCs w:val="20"/>
        </w:rPr>
        <w:t>proticovidového</w:t>
      </w:r>
      <w:proofErr w:type="spellEnd"/>
      <w:r w:rsidR="00A11C0F" w:rsidRPr="009D05AD">
        <w:rPr>
          <w:rFonts w:ascii="Arial" w:hAnsi="Arial" w:cs="Arial"/>
          <w:i/>
          <w:sz w:val="20"/>
          <w:szCs w:val="20"/>
        </w:rPr>
        <w:t xml:space="preserve"> </w:t>
      </w:r>
      <w:r w:rsidR="005F0E46" w:rsidRPr="009D05AD">
        <w:rPr>
          <w:rFonts w:ascii="Arial" w:hAnsi="Arial" w:cs="Arial"/>
          <w:i/>
          <w:sz w:val="20"/>
          <w:szCs w:val="20"/>
        </w:rPr>
        <w:t>očkování</w:t>
      </w:r>
      <w:r w:rsidR="00A11C0F" w:rsidRPr="009D05AD">
        <w:rPr>
          <w:rFonts w:ascii="Arial" w:hAnsi="Arial" w:cs="Arial"/>
          <w:i/>
          <w:sz w:val="20"/>
          <w:szCs w:val="20"/>
        </w:rPr>
        <w:t xml:space="preserve"> </w:t>
      </w:r>
      <w:r w:rsidR="005F0E46" w:rsidRPr="009D05AD">
        <w:rPr>
          <w:rFonts w:ascii="Arial" w:hAnsi="Arial" w:cs="Arial"/>
          <w:i/>
          <w:sz w:val="20"/>
          <w:szCs w:val="20"/>
        </w:rPr>
        <w:t xml:space="preserve">také na mladší ročníky. Z ekonomických údajů vyplývá, že </w:t>
      </w:r>
      <w:r w:rsidR="00A11C0F" w:rsidRPr="009D05AD">
        <w:rPr>
          <w:rFonts w:ascii="Arial" w:hAnsi="Arial" w:cs="Arial"/>
          <w:i/>
          <w:sz w:val="20"/>
          <w:szCs w:val="20"/>
        </w:rPr>
        <w:t xml:space="preserve">v zemích, ve kterých díky tomuto očkování ubývá nově nakažených, </w:t>
      </w:r>
      <w:r w:rsidR="005F0E46" w:rsidRPr="009D05AD">
        <w:rPr>
          <w:rFonts w:ascii="Arial" w:hAnsi="Arial" w:cs="Arial"/>
          <w:i/>
          <w:sz w:val="20"/>
          <w:szCs w:val="20"/>
        </w:rPr>
        <w:t xml:space="preserve">se </w:t>
      </w:r>
      <w:r w:rsidR="00A11C0F" w:rsidRPr="009D05AD">
        <w:rPr>
          <w:rFonts w:ascii="Arial" w:hAnsi="Arial" w:cs="Arial"/>
          <w:i/>
          <w:sz w:val="20"/>
          <w:szCs w:val="20"/>
        </w:rPr>
        <w:t xml:space="preserve">ekonomiky </w:t>
      </w:r>
      <w:r w:rsidR="005F0E46" w:rsidRPr="009D05AD">
        <w:rPr>
          <w:rFonts w:ascii="Arial" w:hAnsi="Arial" w:cs="Arial"/>
          <w:i/>
          <w:sz w:val="20"/>
          <w:szCs w:val="20"/>
        </w:rPr>
        <w:t xml:space="preserve">stabilně zotavují. Tento fakt prospívá </w:t>
      </w:r>
      <w:r>
        <w:rPr>
          <w:rFonts w:ascii="Arial" w:hAnsi="Arial" w:cs="Arial"/>
          <w:i/>
          <w:sz w:val="20"/>
          <w:szCs w:val="20"/>
        </w:rPr>
        <w:t>nejen a</w:t>
      </w:r>
      <w:r w:rsidR="005F0E46" w:rsidRPr="009D05AD">
        <w:rPr>
          <w:rFonts w:ascii="Arial" w:hAnsi="Arial" w:cs="Arial"/>
          <w:i/>
          <w:sz w:val="20"/>
          <w:szCs w:val="20"/>
        </w:rPr>
        <w:t>kciovým</w:t>
      </w:r>
      <w:r>
        <w:rPr>
          <w:rFonts w:ascii="Arial" w:hAnsi="Arial" w:cs="Arial"/>
          <w:i/>
          <w:sz w:val="20"/>
          <w:szCs w:val="20"/>
        </w:rPr>
        <w:t>, ale také</w:t>
      </w:r>
      <w:r w:rsidR="005F0E46" w:rsidRPr="009D05AD">
        <w:rPr>
          <w:rFonts w:ascii="Arial" w:hAnsi="Arial" w:cs="Arial"/>
          <w:i/>
          <w:sz w:val="20"/>
          <w:szCs w:val="20"/>
        </w:rPr>
        <w:t xml:space="preserve"> komoditním trhům, které pokračují v nastoleném trendu a nadále pos</w:t>
      </w:r>
      <w:r w:rsidR="00DC3F71">
        <w:rPr>
          <w:rFonts w:ascii="Arial" w:hAnsi="Arial" w:cs="Arial"/>
          <w:i/>
          <w:sz w:val="20"/>
          <w:szCs w:val="20"/>
        </w:rPr>
        <w:t xml:space="preserve">ilují,“ </w:t>
      </w:r>
      <w:r>
        <w:rPr>
          <w:rFonts w:ascii="Arial" w:hAnsi="Arial" w:cs="Arial"/>
          <w:sz w:val="20"/>
          <w:szCs w:val="20"/>
        </w:rPr>
        <w:t xml:space="preserve">shrnuje situaci </w:t>
      </w:r>
      <w:r w:rsidRPr="00DC3F71">
        <w:rPr>
          <w:rFonts w:ascii="Arial" w:hAnsi="Arial" w:cs="Arial"/>
          <w:b/>
          <w:sz w:val="20"/>
          <w:szCs w:val="20"/>
        </w:rPr>
        <w:t>Lukáš Vokel, analytik konzervativních investic Broker Consulting</w:t>
      </w:r>
      <w:r>
        <w:rPr>
          <w:rFonts w:ascii="Arial" w:hAnsi="Arial" w:cs="Arial"/>
          <w:sz w:val="20"/>
          <w:szCs w:val="20"/>
        </w:rPr>
        <w:t>.</w:t>
      </w:r>
    </w:p>
    <w:p w14:paraId="565A09CB" w14:textId="77777777" w:rsidR="009D05AD" w:rsidRPr="005F0E46" w:rsidRDefault="009D05AD" w:rsidP="0026621E">
      <w:pPr>
        <w:jc w:val="both"/>
        <w:rPr>
          <w:rFonts w:ascii="Arial" w:hAnsi="Arial" w:cs="Arial"/>
          <w:sz w:val="20"/>
          <w:szCs w:val="20"/>
        </w:rPr>
      </w:pPr>
    </w:p>
    <w:p w14:paraId="13884FA5" w14:textId="4538C5E2" w:rsidR="005F0E46" w:rsidRDefault="005F0E46" w:rsidP="0026621E">
      <w:pPr>
        <w:jc w:val="both"/>
        <w:rPr>
          <w:rFonts w:ascii="Arial" w:hAnsi="Arial" w:cs="Arial"/>
          <w:sz w:val="20"/>
          <w:szCs w:val="20"/>
        </w:rPr>
      </w:pPr>
      <w:r w:rsidRPr="005F0E46">
        <w:rPr>
          <w:rFonts w:ascii="Arial" w:hAnsi="Arial" w:cs="Arial"/>
          <w:sz w:val="20"/>
          <w:szCs w:val="20"/>
        </w:rPr>
        <w:t xml:space="preserve">Od začátku roku se velice daří akciovým fondům, které </w:t>
      </w:r>
      <w:r w:rsidR="00A11C0F">
        <w:rPr>
          <w:rFonts w:ascii="Arial" w:hAnsi="Arial" w:cs="Arial"/>
          <w:sz w:val="20"/>
          <w:szCs w:val="20"/>
        </w:rPr>
        <w:t xml:space="preserve">zřetelně </w:t>
      </w:r>
      <w:r w:rsidRPr="005F0E46">
        <w:rPr>
          <w:rFonts w:ascii="Arial" w:hAnsi="Arial" w:cs="Arial"/>
          <w:sz w:val="20"/>
          <w:szCs w:val="20"/>
        </w:rPr>
        <w:t>odráž</w:t>
      </w:r>
      <w:r>
        <w:rPr>
          <w:rFonts w:ascii="Arial" w:hAnsi="Arial" w:cs="Arial"/>
          <w:sz w:val="20"/>
          <w:szCs w:val="20"/>
        </w:rPr>
        <w:t>ej</w:t>
      </w:r>
      <w:r w:rsidRPr="005F0E46">
        <w:rPr>
          <w:rFonts w:ascii="Arial" w:hAnsi="Arial" w:cs="Arial"/>
          <w:sz w:val="20"/>
          <w:szCs w:val="20"/>
        </w:rPr>
        <w:t>í zlepšující se výhled globál</w:t>
      </w:r>
      <w:r>
        <w:rPr>
          <w:rFonts w:ascii="Arial" w:hAnsi="Arial" w:cs="Arial"/>
          <w:sz w:val="20"/>
          <w:szCs w:val="20"/>
        </w:rPr>
        <w:t>ního růstu</w:t>
      </w:r>
      <w:r w:rsidR="00A11C0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Mimo jiné se také z</w:t>
      </w:r>
      <w:r w:rsidRPr="005F0E46">
        <w:rPr>
          <w:rFonts w:ascii="Arial" w:hAnsi="Arial" w:cs="Arial"/>
          <w:sz w:val="20"/>
          <w:szCs w:val="20"/>
        </w:rPr>
        <w:t>lepšil výhled v krátkodobém až střednědobém horizontu</w:t>
      </w:r>
      <w:r w:rsidR="00A11C0F">
        <w:rPr>
          <w:rFonts w:ascii="Arial" w:hAnsi="Arial" w:cs="Arial"/>
          <w:sz w:val="20"/>
          <w:szCs w:val="20"/>
        </w:rPr>
        <w:t>, k němuž zásadní měrou přispělo opětovné</w:t>
      </w:r>
      <w:r w:rsidRPr="005F0E46">
        <w:rPr>
          <w:rFonts w:ascii="Arial" w:hAnsi="Arial" w:cs="Arial"/>
          <w:sz w:val="20"/>
          <w:szCs w:val="20"/>
        </w:rPr>
        <w:t xml:space="preserve"> otevíráním ekonomik po celém světě. Během května </w:t>
      </w:r>
      <w:r w:rsidR="00A11C0F">
        <w:rPr>
          <w:rFonts w:ascii="Arial" w:hAnsi="Arial" w:cs="Arial"/>
          <w:sz w:val="20"/>
          <w:szCs w:val="20"/>
        </w:rPr>
        <w:t xml:space="preserve">akciové fondy posílily o 1,58 %. Největší </w:t>
      </w:r>
      <w:r w:rsidR="00A11C0F" w:rsidRPr="005F0E46">
        <w:rPr>
          <w:rFonts w:ascii="Arial" w:hAnsi="Arial" w:cs="Arial"/>
          <w:sz w:val="20"/>
          <w:szCs w:val="20"/>
        </w:rPr>
        <w:t xml:space="preserve">nárůst </w:t>
      </w:r>
      <w:r w:rsidRPr="005F0E46">
        <w:rPr>
          <w:rFonts w:ascii="Arial" w:hAnsi="Arial" w:cs="Arial"/>
          <w:sz w:val="20"/>
          <w:szCs w:val="20"/>
        </w:rPr>
        <w:t>vykázaly evropské a čínské akcie, nicméně od začátku roku jsou na tom nejlépe akcie evropské a americké. Vysoká výkonnost za posledních 12 měsíců je dána loňským poklesem na akciovém trhu.</w:t>
      </w:r>
    </w:p>
    <w:p w14:paraId="68323755" w14:textId="77777777" w:rsidR="005F0E46" w:rsidRPr="005F0E46" w:rsidRDefault="005F0E46" w:rsidP="0026621E">
      <w:pPr>
        <w:jc w:val="both"/>
        <w:rPr>
          <w:rFonts w:ascii="Arial" w:hAnsi="Arial" w:cs="Arial"/>
          <w:sz w:val="20"/>
          <w:szCs w:val="20"/>
        </w:rPr>
      </w:pPr>
    </w:p>
    <w:p w14:paraId="6F643625" w14:textId="556251F8" w:rsidR="005F0E46" w:rsidRPr="005F0E46" w:rsidRDefault="005F0E46" w:rsidP="0026621E">
      <w:pPr>
        <w:jc w:val="both"/>
        <w:rPr>
          <w:rFonts w:ascii="Arial" w:hAnsi="Arial" w:cs="Arial"/>
          <w:sz w:val="20"/>
          <w:szCs w:val="20"/>
        </w:rPr>
      </w:pPr>
      <w:r w:rsidRPr="005F0E46">
        <w:rPr>
          <w:rFonts w:ascii="Arial" w:hAnsi="Arial" w:cs="Arial"/>
          <w:sz w:val="20"/>
          <w:szCs w:val="20"/>
        </w:rPr>
        <w:t xml:space="preserve">Dluhopisové fondy </w:t>
      </w:r>
      <w:r w:rsidR="00A82DA1">
        <w:rPr>
          <w:rFonts w:ascii="Arial" w:hAnsi="Arial" w:cs="Arial"/>
          <w:sz w:val="20"/>
          <w:szCs w:val="20"/>
        </w:rPr>
        <w:t xml:space="preserve">(-0,04 %) </w:t>
      </w:r>
      <w:r w:rsidRPr="005F0E46">
        <w:rPr>
          <w:rFonts w:ascii="Arial" w:hAnsi="Arial" w:cs="Arial"/>
          <w:sz w:val="20"/>
          <w:szCs w:val="20"/>
        </w:rPr>
        <w:t>a fondy peněžního</w:t>
      </w:r>
      <w:r>
        <w:rPr>
          <w:rFonts w:ascii="Arial" w:hAnsi="Arial" w:cs="Arial"/>
          <w:sz w:val="20"/>
          <w:szCs w:val="20"/>
        </w:rPr>
        <w:t xml:space="preserve"> trhu </w:t>
      </w:r>
      <w:r w:rsidR="00A82DA1">
        <w:rPr>
          <w:rFonts w:ascii="Arial" w:hAnsi="Arial" w:cs="Arial"/>
          <w:sz w:val="20"/>
          <w:szCs w:val="20"/>
        </w:rPr>
        <w:t xml:space="preserve">(-0,05 %) </w:t>
      </w:r>
      <w:r w:rsidR="009D05AD">
        <w:rPr>
          <w:rFonts w:ascii="Arial" w:hAnsi="Arial" w:cs="Arial"/>
          <w:sz w:val="20"/>
          <w:szCs w:val="20"/>
        </w:rPr>
        <w:t xml:space="preserve">se po dubnovém mimořádném růstu vrátily v květnu zpět do zajetých kolejí a pokračovaly v </w:t>
      </w:r>
      <w:r w:rsidR="00B75627">
        <w:rPr>
          <w:rFonts w:ascii="Arial" w:hAnsi="Arial" w:cs="Arial"/>
          <w:sz w:val="20"/>
          <w:szCs w:val="20"/>
        </w:rPr>
        <w:t>mírném</w:t>
      </w:r>
      <w:r w:rsidR="009D05AD">
        <w:rPr>
          <w:rFonts w:ascii="Arial" w:hAnsi="Arial" w:cs="Arial"/>
          <w:sz w:val="20"/>
          <w:szCs w:val="20"/>
        </w:rPr>
        <w:t xml:space="preserve"> </w:t>
      </w:r>
      <w:r w:rsidR="00265810">
        <w:rPr>
          <w:rFonts w:ascii="Arial" w:hAnsi="Arial" w:cs="Arial"/>
          <w:sz w:val="20"/>
          <w:szCs w:val="20"/>
        </w:rPr>
        <w:t>klesání. C</w:t>
      </w:r>
      <w:r w:rsidR="00265810" w:rsidRPr="0073790D">
        <w:rPr>
          <w:rFonts w:ascii="Arial" w:hAnsi="Arial" w:cs="Arial"/>
          <w:sz w:val="20"/>
          <w:szCs w:val="20"/>
        </w:rPr>
        <w:t xml:space="preserve">eny státních dluhopisů </w:t>
      </w:r>
      <w:r w:rsidR="00265810">
        <w:rPr>
          <w:rFonts w:ascii="Arial" w:hAnsi="Arial" w:cs="Arial"/>
          <w:sz w:val="20"/>
          <w:szCs w:val="20"/>
        </w:rPr>
        <w:t>vykazovaly</w:t>
      </w:r>
      <w:r w:rsidR="00265810" w:rsidRPr="0073790D">
        <w:rPr>
          <w:rFonts w:ascii="Arial" w:hAnsi="Arial" w:cs="Arial"/>
          <w:sz w:val="20"/>
          <w:szCs w:val="20"/>
        </w:rPr>
        <w:t xml:space="preserve"> </w:t>
      </w:r>
      <w:r w:rsidR="00265810">
        <w:rPr>
          <w:rFonts w:ascii="Arial" w:hAnsi="Arial" w:cs="Arial"/>
          <w:sz w:val="20"/>
          <w:szCs w:val="20"/>
        </w:rPr>
        <w:t>o</w:t>
      </w:r>
      <w:r w:rsidR="0073790D" w:rsidRPr="0073790D">
        <w:rPr>
          <w:rFonts w:ascii="Arial" w:hAnsi="Arial" w:cs="Arial"/>
          <w:sz w:val="20"/>
          <w:szCs w:val="20"/>
        </w:rPr>
        <w:t>d začátku roku postupný pokles, k</w:t>
      </w:r>
      <w:r w:rsidR="0073790D">
        <w:rPr>
          <w:rFonts w:ascii="Arial" w:hAnsi="Arial" w:cs="Arial"/>
          <w:sz w:val="20"/>
          <w:szCs w:val="20"/>
        </w:rPr>
        <w:t>terý skončil až na konci března</w:t>
      </w:r>
      <w:r w:rsidR="00B75627">
        <w:rPr>
          <w:rFonts w:ascii="Arial" w:hAnsi="Arial" w:cs="Arial"/>
          <w:sz w:val="20"/>
          <w:szCs w:val="20"/>
        </w:rPr>
        <w:t xml:space="preserve">. </w:t>
      </w:r>
      <w:r w:rsidR="00265810">
        <w:rPr>
          <w:rFonts w:ascii="Arial" w:hAnsi="Arial" w:cs="Arial"/>
          <w:sz w:val="20"/>
          <w:szCs w:val="20"/>
        </w:rPr>
        <w:t xml:space="preserve">Za tímto </w:t>
      </w:r>
      <w:r w:rsidR="00B75627">
        <w:rPr>
          <w:rFonts w:ascii="Arial" w:hAnsi="Arial" w:cs="Arial"/>
          <w:sz w:val="20"/>
          <w:szCs w:val="20"/>
        </w:rPr>
        <w:t>poklesem stojí</w:t>
      </w:r>
      <w:r w:rsidRPr="005F0E46">
        <w:rPr>
          <w:rFonts w:ascii="Arial" w:hAnsi="Arial" w:cs="Arial"/>
          <w:sz w:val="20"/>
          <w:szCs w:val="20"/>
        </w:rPr>
        <w:t xml:space="preserve"> v první řadě jejich vyšší oceněn</w:t>
      </w:r>
      <w:r>
        <w:rPr>
          <w:rFonts w:ascii="Arial" w:hAnsi="Arial" w:cs="Arial"/>
          <w:sz w:val="20"/>
          <w:szCs w:val="20"/>
        </w:rPr>
        <w:t>í</w:t>
      </w:r>
      <w:r w:rsidRPr="005F0E46">
        <w:rPr>
          <w:rFonts w:ascii="Arial" w:hAnsi="Arial" w:cs="Arial"/>
          <w:sz w:val="20"/>
          <w:szCs w:val="20"/>
        </w:rPr>
        <w:t>,</w:t>
      </w:r>
      <w:r w:rsidR="00B75627">
        <w:rPr>
          <w:rFonts w:ascii="Arial" w:hAnsi="Arial" w:cs="Arial"/>
          <w:sz w:val="20"/>
          <w:szCs w:val="20"/>
        </w:rPr>
        <w:t xml:space="preserve"> ale také</w:t>
      </w:r>
      <w:r w:rsidRPr="005F0E46">
        <w:rPr>
          <w:rFonts w:ascii="Arial" w:hAnsi="Arial" w:cs="Arial"/>
          <w:sz w:val="20"/>
          <w:szCs w:val="20"/>
        </w:rPr>
        <w:t xml:space="preserve"> rozvolněná fiskální politika a obavy z rostoucí inflace</w:t>
      </w:r>
      <w:r w:rsidR="00B75627">
        <w:rPr>
          <w:rFonts w:ascii="Arial" w:hAnsi="Arial" w:cs="Arial"/>
          <w:sz w:val="20"/>
          <w:szCs w:val="20"/>
        </w:rPr>
        <w:t xml:space="preserve">, která je zásadním </w:t>
      </w:r>
      <w:r w:rsidRPr="005F0E46">
        <w:rPr>
          <w:rFonts w:ascii="Arial" w:hAnsi="Arial" w:cs="Arial"/>
          <w:sz w:val="20"/>
          <w:szCs w:val="20"/>
        </w:rPr>
        <w:t>tématem posledních týdnů</w:t>
      </w:r>
      <w:r w:rsidR="00B75627">
        <w:rPr>
          <w:rFonts w:ascii="Arial" w:hAnsi="Arial" w:cs="Arial"/>
          <w:sz w:val="20"/>
          <w:szCs w:val="20"/>
        </w:rPr>
        <w:t xml:space="preserve">. Výrazně totiž </w:t>
      </w:r>
      <w:r w:rsidRPr="005F0E46">
        <w:rPr>
          <w:rFonts w:ascii="Arial" w:hAnsi="Arial" w:cs="Arial"/>
          <w:sz w:val="20"/>
          <w:szCs w:val="20"/>
        </w:rPr>
        <w:t>snižuje reálný úrokový výnos dluhopisů</w:t>
      </w:r>
      <w:r>
        <w:rPr>
          <w:rFonts w:ascii="Arial" w:hAnsi="Arial" w:cs="Arial"/>
          <w:sz w:val="20"/>
          <w:szCs w:val="20"/>
        </w:rPr>
        <w:t>,</w:t>
      </w:r>
      <w:r w:rsidRPr="005F0E46">
        <w:rPr>
          <w:rFonts w:ascii="Arial" w:hAnsi="Arial" w:cs="Arial"/>
          <w:sz w:val="20"/>
          <w:szCs w:val="20"/>
        </w:rPr>
        <w:t xml:space="preserve"> a tím pádem tlačí na </w:t>
      </w:r>
      <w:r w:rsidR="00B75627">
        <w:rPr>
          <w:rFonts w:ascii="Arial" w:hAnsi="Arial" w:cs="Arial"/>
          <w:sz w:val="20"/>
          <w:szCs w:val="20"/>
        </w:rPr>
        <w:t xml:space="preserve">jejich </w:t>
      </w:r>
      <w:r w:rsidRPr="005F0E46">
        <w:rPr>
          <w:rFonts w:ascii="Arial" w:hAnsi="Arial" w:cs="Arial"/>
          <w:sz w:val="20"/>
          <w:szCs w:val="20"/>
        </w:rPr>
        <w:t>cenu.</w:t>
      </w:r>
    </w:p>
    <w:p w14:paraId="06FA900B" w14:textId="77777777" w:rsidR="005F0E46" w:rsidRDefault="005F0E46" w:rsidP="0026621E">
      <w:pPr>
        <w:jc w:val="both"/>
        <w:rPr>
          <w:rFonts w:ascii="Arial" w:hAnsi="Arial" w:cs="Arial"/>
          <w:sz w:val="20"/>
          <w:szCs w:val="20"/>
        </w:rPr>
      </w:pPr>
    </w:p>
    <w:p w14:paraId="727E1509" w14:textId="64F87825" w:rsidR="005F0E46" w:rsidRPr="005F0E46" w:rsidRDefault="00B75627" w:rsidP="0026621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Také n</w:t>
      </w:r>
      <w:r w:rsidR="005F0E46" w:rsidRPr="005F0E46">
        <w:rPr>
          <w:rFonts w:ascii="Arial" w:hAnsi="Arial" w:cs="Arial"/>
          <w:sz w:val="20"/>
          <w:szCs w:val="20"/>
        </w:rPr>
        <w:t>emovitostní fondy</w:t>
      </w:r>
      <w:r>
        <w:rPr>
          <w:rFonts w:ascii="Arial" w:hAnsi="Arial" w:cs="Arial"/>
          <w:sz w:val="20"/>
          <w:szCs w:val="20"/>
        </w:rPr>
        <w:t xml:space="preserve"> </w:t>
      </w:r>
      <w:r w:rsidR="00A82DA1">
        <w:rPr>
          <w:rFonts w:ascii="Arial" w:hAnsi="Arial" w:cs="Arial"/>
          <w:sz w:val="20"/>
          <w:szCs w:val="20"/>
        </w:rPr>
        <w:t>se v květnu nepatrně propadly až na</w:t>
      </w:r>
      <w:r w:rsidR="005F0E46" w:rsidRPr="005F0E46">
        <w:rPr>
          <w:rFonts w:ascii="Arial" w:hAnsi="Arial" w:cs="Arial"/>
          <w:sz w:val="20"/>
          <w:szCs w:val="20"/>
        </w:rPr>
        <w:t xml:space="preserve"> zápornou nulu</w:t>
      </w:r>
      <w:r w:rsidR="00A82DA1">
        <w:rPr>
          <w:rFonts w:ascii="Arial" w:hAnsi="Arial" w:cs="Arial"/>
          <w:sz w:val="20"/>
          <w:szCs w:val="20"/>
        </w:rPr>
        <w:t>, konkrétně na -0,02 %</w:t>
      </w:r>
      <w:r w:rsidR="005F0E46" w:rsidRPr="005F0E46">
        <w:rPr>
          <w:rFonts w:ascii="Arial" w:hAnsi="Arial" w:cs="Arial"/>
          <w:sz w:val="20"/>
          <w:szCs w:val="20"/>
        </w:rPr>
        <w:t>. Od začátku roku ale vykazují mírný nárůst ve výši 1,16 %. České nemovitostní fondy jsou známé tím, že pří</w:t>
      </w:r>
      <w:r w:rsidR="0026621E">
        <w:rPr>
          <w:rFonts w:ascii="Arial" w:hAnsi="Arial" w:cs="Arial"/>
          <w:sz w:val="20"/>
          <w:szCs w:val="20"/>
        </w:rPr>
        <w:t>liš často nevykazují pokles a</w:t>
      </w:r>
      <w:r w:rsidR="005F0E46" w:rsidRPr="005F0E46">
        <w:rPr>
          <w:rFonts w:ascii="Arial" w:hAnsi="Arial" w:cs="Arial"/>
          <w:sz w:val="20"/>
          <w:szCs w:val="20"/>
        </w:rPr>
        <w:t xml:space="preserve"> přináš</w:t>
      </w:r>
      <w:r w:rsidR="005F0E46">
        <w:rPr>
          <w:rFonts w:ascii="Arial" w:hAnsi="Arial" w:cs="Arial"/>
          <w:sz w:val="20"/>
          <w:szCs w:val="20"/>
        </w:rPr>
        <w:t>ej</w:t>
      </w:r>
      <w:r w:rsidR="005F0E46" w:rsidRPr="005F0E46">
        <w:rPr>
          <w:rFonts w:ascii="Arial" w:hAnsi="Arial" w:cs="Arial"/>
          <w:sz w:val="20"/>
          <w:szCs w:val="20"/>
        </w:rPr>
        <w:t xml:space="preserve">í svým investorům poměrně stabilní příjem. </w:t>
      </w:r>
      <w:r w:rsidR="0026621E">
        <w:rPr>
          <w:rFonts w:ascii="Arial" w:hAnsi="Arial" w:cs="Arial"/>
          <w:sz w:val="20"/>
          <w:szCs w:val="20"/>
        </w:rPr>
        <w:t xml:space="preserve">Přesto by se investoři měli připravit </w:t>
      </w:r>
      <w:r w:rsidR="002B43B8">
        <w:rPr>
          <w:rFonts w:ascii="Arial" w:hAnsi="Arial" w:cs="Arial"/>
          <w:sz w:val="20"/>
          <w:szCs w:val="20"/>
        </w:rPr>
        <w:t>na občasný výkyv směrem dolů</w:t>
      </w:r>
      <w:r w:rsidR="0026621E">
        <w:rPr>
          <w:rFonts w:ascii="Arial" w:hAnsi="Arial" w:cs="Arial"/>
          <w:sz w:val="20"/>
          <w:szCs w:val="20"/>
        </w:rPr>
        <w:t xml:space="preserve">, k němuž u nemovitostních fondů může </w:t>
      </w:r>
      <w:r w:rsidR="002B43B8">
        <w:rPr>
          <w:rFonts w:ascii="Arial" w:hAnsi="Arial" w:cs="Arial"/>
          <w:sz w:val="20"/>
          <w:szCs w:val="20"/>
        </w:rPr>
        <w:t>krátkodobě</w:t>
      </w:r>
      <w:r w:rsidR="0026621E">
        <w:rPr>
          <w:rFonts w:ascii="Arial" w:hAnsi="Arial" w:cs="Arial"/>
          <w:sz w:val="20"/>
          <w:szCs w:val="20"/>
        </w:rPr>
        <w:t xml:space="preserve"> dojít. </w:t>
      </w:r>
    </w:p>
    <w:p w14:paraId="750F95B9" w14:textId="77777777" w:rsidR="005F0E46" w:rsidRDefault="005F0E46" w:rsidP="0026621E">
      <w:pPr>
        <w:jc w:val="both"/>
        <w:rPr>
          <w:rFonts w:ascii="Arial" w:hAnsi="Arial" w:cs="Arial"/>
          <w:sz w:val="20"/>
          <w:szCs w:val="20"/>
        </w:rPr>
      </w:pPr>
    </w:p>
    <w:p w14:paraId="69F9F42D" w14:textId="37E9518B" w:rsidR="005F0E46" w:rsidRPr="005F0E46" w:rsidRDefault="005F0E46" w:rsidP="0026621E">
      <w:pPr>
        <w:jc w:val="both"/>
        <w:rPr>
          <w:rFonts w:ascii="Arial" w:hAnsi="Arial" w:cs="Arial"/>
          <w:sz w:val="20"/>
          <w:szCs w:val="20"/>
        </w:rPr>
      </w:pPr>
      <w:r w:rsidRPr="005F0E46">
        <w:rPr>
          <w:rFonts w:ascii="Arial" w:hAnsi="Arial" w:cs="Arial"/>
          <w:sz w:val="20"/>
          <w:szCs w:val="20"/>
        </w:rPr>
        <w:t>Trend, kterým nastartovaly začátek roku komoditní fondy, během května pokračoval</w:t>
      </w:r>
      <w:r w:rsidR="002B43B8">
        <w:rPr>
          <w:rFonts w:ascii="Arial" w:hAnsi="Arial" w:cs="Arial"/>
          <w:sz w:val="20"/>
          <w:szCs w:val="20"/>
        </w:rPr>
        <w:t xml:space="preserve"> a</w:t>
      </w:r>
      <w:r w:rsidR="00A82DA1">
        <w:rPr>
          <w:rFonts w:ascii="Arial" w:hAnsi="Arial" w:cs="Arial"/>
          <w:sz w:val="20"/>
          <w:szCs w:val="20"/>
        </w:rPr>
        <w:t xml:space="preserve"> na konci měsíce si připsaly 2,60 %. Ačkoli se nejednalo o tak výrazný meziměsíční nárůst jako v dubnu, vykazují k</w:t>
      </w:r>
      <w:r w:rsidRPr="005F0E46">
        <w:rPr>
          <w:rFonts w:ascii="Arial" w:hAnsi="Arial" w:cs="Arial"/>
          <w:sz w:val="20"/>
          <w:szCs w:val="20"/>
        </w:rPr>
        <w:t xml:space="preserve">omoditní fondy </w:t>
      </w:r>
      <w:r w:rsidR="00DC3F71">
        <w:rPr>
          <w:rFonts w:ascii="Arial" w:hAnsi="Arial" w:cs="Arial"/>
          <w:sz w:val="20"/>
          <w:szCs w:val="20"/>
        </w:rPr>
        <w:t xml:space="preserve">již </w:t>
      </w:r>
      <w:r w:rsidR="00DC3F71" w:rsidRPr="005F0E46">
        <w:rPr>
          <w:rFonts w:ascii="Arial" w:hAnsi="Arial" w:cs="Arial"/>
          <w:sz w:val="20"/>
          <w:szCs w:val="20"/>
        </w:rPr>
        <w:t xml:space="preserve">od začátku roku </w:t>
      </w:r>
      <w:r w:rsidRPr="005F0E46">
        <w:rPr>
          <w:rFonts w:ascii="Arial" w:hAnsi="Arial" w:cs="Arial"/>
          <w:sz w:val="20"/>
          <w:szCs w:val="20"/>
        </w:rPr>
        <w:t xml:space="preserve">nejvyšší výkonnost. Do jisté míry se daří téměř všem komoditám, ale největší cenový nárůst zažily hlavně ropa, zemní plyn a kovy. Vysoká výkonnost komoditních fondů je dána značným poklesem, </w:t>
      </w:r>
      <w:r w:rsidR="00DC3F71">
        <w:rPr>
          <w:rFonts w:ascii="Arial" w:hAnsi="Arial" w:cs="Arial"/>
          <w:sz w:val="20"/>
          <w:szCs w:val="20"/>
        </w:rPr>
        <w:t>který se u nich projevil v minulém roce</w:t>
      </w:r>
      <w:r w:rsidRPr="005F0E46">
        <w:rPr>
          <w:rFonts w:ascii="Arial" w:hAnsi="Arial" w:cs="Arial"/>
          <w:sz w:val="20"/>
          <w:szCs w:val="20"/>
        </w:rPr>
        <w:t>.</w:t>
      </w:r>
    </w:p>
    <w:p w14:paraId="1A839558" w14:textId="77777777" w:rsidR="005F0E46" w:rsidRDefault="005F0E46" w:rsidP="0026621E">
      <w:pPr>
        <w:jc w:val="both"/>
        <w:rPr>
          <w:rFonts w:ascii="Arial" w:hAnsi="Arial" w:cs="Arial"/>
          <w:b/>
          <w:sz w:val="20"/>
          <w:szCs w:val="20"/>
        </w:rPr>
      </w:pPr>
    </w:p>
    <w:p w14:paraId="35195091" w14:textId="191D8A20" w:rsidR="005F0E46" w:rsidRPr="005F0E46" w:rsidRDefault="00DC3F71" w:rsidP="0026621E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Doporučení Lukáše </w:t>
      </w:r>
      <w:proofErr w:type="spellStart"/>
      <w:r>
        <w:rPr>
          <w:rFonts w:ascii="Arial" w:hAnsi="Arial" w:cs="Arial"/>
          <w:b/>
          <w:sz w:val="20"/>
          <w:szCs w:val="20"/>
        </w:rPr>
        <w:t>Vokela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: </w:t>
      </w:r>
      <w:r w:rsidR="00D21E1C">
        <w:rPr>
          <w:rFonts w:ascii="Arial" w:hAnsi="Arial" w:cs="Arial"/>
          <w:b/>
          <w:sz w:val="20"/>
          <w:szCs w:val="20"/>
        </w:rPr>
        <w:t>Diverzifikovat znamená nepokládat všechna vejce do jednoho košíku</w:t>
      </w:r>
    </w:p>
    <w:p w14:paraId="2734ABEF" w14:textId="388A8FE1" w:rsidR="005F0E46" w:rsidRPr="00DC3F71" w:rsidRDefault="00DC3F71" w:rsidP="0026621E">
      <w:pPr>
        <w:jc w:val="both"/>
        <w:rPr>
          <w:rFonts w:ascii="Arial" w:hAnsi="Arial" w:cs="Arial"/>
          <w:i/>
          <w:sz w:val="20"/>
          <w:szCs w:val="20"/>
        </w:rPr>
      </w:pPr>
      <w:r w:rsidRPr="00DC3F71">
        <w:rPr>
          <w:rFonts w:ascii="Arial" w:hAnsi="Arial" w:cs="Arial"/>
          <w:i/>
          <w:sz w:val="20"/>
          <w:szCs w:val="20"/>
        </w:rPr>
        <w:t>„</w:t>
      </w:r>
      <w:r w:rsidR="005F0E46" w:rsidRPr="00DC3F71">
        <w:rPr>
          <w:rFonts w:ascii="Arial" w:hAnsi="Arial" w:cs="Arial"/>
          <w:i/>
          <w:sz w:val="20"/>
          <w:szCs w:val="20"/>
        </w:rPr>
        <w:t xml:space="preserve">Nikdo nezaručí, jak se budou události v budoucnu vyvíjet. Vyhlídky na úspěch akciových titulů v různých zemích a sektorech se mohou změnit během okamžiku. Proto je poměrně riskantní omezovat investice pouze na určitá aktiva, trhy a odvětví. </w:t>
      </w:r>
      <w:r w:rsidRPr="00DC3F71">
        <w:rPr>
          <w:rFonts w:ascii="Arial" w:hAnsi="Arial" w:cs="Arial"/>
          <w:i/>
          <w:sz w:val="20"/>
          <w:szCs w:val="20"/>
        </w:rPr>
        <w:t>Investorům doporučuji řídit se anglickým příslovím ‘Nepokládejte všechna vejce do jednoho košíku‘. V praxi to znamená, že n</w:t>
      </w:r>
      <w:r w:rsidR="005F0E46" w:rsidRPr="00DC3F71">
        <w:rPr>
          <w:rFonts w:ascii="Arial" w:hAnsi="Arial" w:cs="Arial"/>
          <w:i/>
          <w:sz w:val="20"/>
          <w:szCs w:val="20"/>
        </w:rPr>
        <w:t>ejjednodušší</w:t>
      </w:r>
      <w:r w:rsidRPr="00DC3F71">
        <w:rPr>
          <w:rFonts w:ascii="Arial" w:hAnsi="Arial" w:cs="Arial"/>
          <w:i/>
          <w:sz w:val="20"/>
          <w:szCs w:val="20"/>
        </w:rPr>
        <w:t>m</w:t>
      </w:r>
      <w:r w:rsidR="005F0E46" w:rsidRPr="00DC3F71">
        <w:rPr>
          <w:rFonts w:ascii="Arial" w:hAnsi="Arial" w:cs="Arial"/>
          <w:i/>
          <w:sz w:val="20"/>
          <w:szCs w:val="20"/>
        </w:rPr>
        <w:t xml:space="preserve"> způsob</w:t>
      </w:r>
      <w:r w:rsidRPr="00DC3F71">
        <w:rPr>
          <w:rFonts w:ascii="Arial" w:hAnsi="Arial" w:cs="Arial"/>
          <w:i/>
          <w:sz w:val="20"/>
          <w:szCs w:val="20"/>
        </w:rPr>
        <w:t>em</w:t>
      </w:r>
      <w:r w:rsidR="005F0E46" w:rsidRPr="00DC3F71">
        <w:rPr>
          <w:rFonts w:ascii="Arial" w:hAnsi="Arial" w:cs="Arial"/>
          <w:i/>
          <w:sz w:val="20"/>
          <w:szCs w:val="20"/>
        </w:rPr>
        <w:t>, jak snížit riziko potenciální ztráty</w:t>
      </w:r>
      <w:r w:rsidRPr="00DC3F71">
        <w:rPr>
          <w:rFonts w:ascii="Arial" w:hAnsi="Arial" w:cs="Arial"/>
          <w:i/>
          <w:sz w:val="20"/>
          <w:szCs w:val="20"/>
        </w:rPr>
        <w:t>, je portfolio diverzifikovat.“</w:t>
      </w:r>
    </w:p>
    <w:p w14:paraId="60D8E567" w14:textId="1D48B2C9" w:rsidR="00CC580E" w:rsidRPr="0073706E" w:rsidRDefault="00CC580E" w:rsidP="00807CDD">
      <w:pPr>
        <w:rPr>
          <w:rFonts w:ascii="Arial" w:hAnsi="Arial" w:cs="Arial"/>
          <w:color w:val="FF0000"/>
          <w:sz w:val="20"/>
          <w:szCs w:val="20"/>
        </w:rPr>
      </w:pPr>
    </w:p>
    <w:p w14:paraId="0B188DD4" w14:textId="57AC9E1C" w:rsidR="00F63CCA" w:rsidRDefault="00F63CCA" w:rsidP="00A12A99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103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1575"/>
        <w:gridCol w:w="1526"/>
        <w:gridCol w:w="1526"/>
        <w:gridCol w:w="1526"/>
        <w:gridCol w:w="1529"/>
      </w:tblGrid>
      <w:tr w:rsidR="0073706E" w:rsidRPr="00C268ED" w14:paraId="704A5EAE" w14:textId="77777777" w:rsidTr="0073706E">
        <w:trPr>
          <w:trHeight w:val="338"/>
        </w:trPr>
        <w:tc>
          <w:tcPr>
            <w:tcW w:w="1036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14:paraId="5AAB14D0" w14:textId="77777777" w:rsidR="0073706E" w:rsidRPr="00C268ED" w:rsidRDefault="0073706E" w:rsidP="009045ED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268E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Broker Consulting Index podílových fondů</w:t>
            </w:r>
          </w:p>
        </w:tc>
      </w:tr>
      <w:tr w:rsidR="0073706E" w:rsidRPr="00C268ED" w14:paraId="0F523F25" w14:textId="77777777" w:rsidTr="0073706E">
        <w:trPr>
          <w:trHeight w:val="317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01F215C" w14:textId="77777777" w:rsidR="0073706E" w:rsidRPr="00C268ED" w:rsidRDefault="0073706E" w:rsidP="009045ED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Typ fondu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54FB2D7" w14:textId="77777777" w:rsidR="0073706E" w:rsidRPr="00C268ED" w:rsidRDefault="0073706E" w:rsidP="009045ED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1 měsíc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D8CDC04" w14:textId="74B6F4BE" w:rsidR="0073706E" w:rsidRPr="00C268ED" w:rsidRDefault="0073706E" w:rsidP="0073706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YTD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73706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</w:rPr>
              <w:t xml:space="preserve">(od počátku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</w:rPr>
              <w:t xml:space="preserve">letošního </w:t>
            </w:r>
            <w:r w:rsidRPr="0073706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</w:rPr>
              <w:t>roku)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FE14D4F" w14:textId="77777777" w:rsidR="0073706E" w:rsidRPr="00C268ED" w:rsidRDefault="0073706E" w:rsidP="009045ED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12 měsíců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15FB0F5" w14:textId="77777777" w:rsidR="0073706E" w:rsidRPr="00C268ED" w:rsidRDefault="0073706E" w:rsidP="009045ED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36 měsíců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F147827" w14:textId="77777777" w:rsidR="0073706E" w:rsidRPr="00C268ED" w:rsidRDefault="0073706E" w:rsidP="009045ED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60 měsíců </w:t>
            </w:r>
          </w:p>
        </w:tc>
      </w:tr>
      <w:tr w:rsidR="0073706E" w:rsidRPr="00C268ED" w14:paraId="4FA8CB97" w14:textId="77777777" w:rsidTr="0073706E">
        <w:trPr>
          <w:trHeight w:val="317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D3326" w14:textId="77777777" w:rsidR="0073706E" w:rsidRPr="00C268ED" w:rsidRDefault="0073706E" w:rsidP="009045E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Akciové fondy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0284C" w14:textId="77777777" w:rsidR="0073706E" w:rsidRPr="00C268ED" w:rsidRDefault="0073706E" w:rsidP="009045E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1,58%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6D03D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7,60%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F8BD3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36,43%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40B6C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23,16%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70C1E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47,95%</w:t>
            </w:r>
          </w:p>
        </w:tc>
      </w:tr>
      <w:tr w:rsidR="0073706E" w:rsidRPr="00C268ED" w14:paraId="03BA5976" w14:textId="77777777" w:rsidTr="0073706E">
        <w:trPr>
          <w:trHeight w:val="317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740E4" w14:textId="77777777" w:rsidR="0073706E" w:rsidRPr="00C268ED" w:rsidRDefault="0073706E" w:rsidP="009045E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Dluhopisové fondy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126EB" w14:textId="77777777" w:rsidR="0073706E" w:rsidRPr="00C268ED" w:rsidRDefault="0073706E" w:rsidP="009045E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-0,04%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EF922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-2,67%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87F8B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-1,08%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1CA72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1,27%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02DD0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-4,04%</w:t>
            </w:r>
          </w:p>
        </w:tc>
      </w:tr>
      <w:tr w:rsidR="0073706E" w:rsidRPr="00C268ED" w14:paraId="03D11FEF" w14:textId="77777777" w:rsidTr="0073706E">
        <w:trPr>
          <w:trHeight w:val="317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6AFA1" w14:textId="77777777" w:rsidR="0073706E" w:rsidRPr="00C268ED" w:rsidRDefault="0073706E" w:rsidP="009045E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Fondy peněžního trhu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C69F6" w14:textId="77777777" w:rsidR="0073706E" w:rsidRPr="00C268ED" w:rsidRDefault="0073706E" w:rsidP="009045E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-0,05%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9DE3B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-1,45%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F4B70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-1,29%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DBE89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4,12%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3661C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2,42%</w:t>
            </w:r>
          </w:p>
        </w:tc>
      </w:tr>
      <w:tr w:rsidR="0073706E" w:rsidRPr="00C268ED" w14:paraId="57777972" w14:textId="77777777" w:rsidTr="0073706E">
        <w:trPr>
          <w:trHeight w:val="317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2CC8C" w14:textId="77777777" w:rsidR="0073706E" w:rsidRPr="00C268ED" w:rsidRDefault="0073706E" w:rsidP="009045E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Komoditní fondy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DDD98" w14:textId="77777777" w:rsidR="0073706E" w:rsidRPr="00C268ED" w:rsidRDefault="0073706E" w:rsidP="009045E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2,60%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AD5AD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17,12%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4364B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49,61%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3E364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7,21%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74ED1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12,46%</w:t>
            </w:r>
          </w:p>
        </w:tc>
      </w:tr>
      <w:tr w:rsidR="0073706E" w:rsidRPr="00C268ED" w14:paraId="21FD5406" w14:textId="77777777" w:rsidTr="0073706E">
        <w:trPr>
          <w:trHeight w:val="317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AFC3C" w14:textId="77777777" w:rsidR="0073706E" w:rsidRPr="00C268ED" w:rsidRDefault="0073706E" w:rsidP="009045E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Nemovitostní fondy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B39E7" w14:textId="77777777" w:rsidR="0073706E" w:rsidRPr="00C268ED" w:rsidRDefault="0073706E" w:rsidP="009045E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-0,02%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91DEC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1,16%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DB9C1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2,03%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C04D8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11,48%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2A33F" w14:textId="77777777" w:rsidR="0073706E" w:rsidRPr="00C268ED" w:rsidRDefault="0073706E" w:rsidP="009045E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68E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19,82%</w:t>
            </w:r>
          </w:p>
        </w:tc>
      </w:tr>
    </w:tbl>
    <w:p w14:paraId="143A7469" w14:textId="77777777" w:rsidR="0073706E" w:rsidRDefault="0073706E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44C83005" w14:textId="313CA0F6" w:rsidR="00DC3F71" w:rsidRDefault="00DC3F71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8BBF76" w14:textId="03AF9BDE" w:rsidR="00E6319B" w:rsidRPr="00D21E1C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17E3B4F1" w14:textId="6542A070" w:rsidR="00F96EED" w:rsidRDefault="00F96EED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68001E" w14:textId="77777777" w:rsidR="00F96EED" w:rsidRDefault="00F96EED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27D9DFFF" w14:textId="77777777" w:rsidR="00D21E1C" w:rsidRDefault="00D21E1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14159423" w14:textId="77777777" w:rsidR="00D21E1C" w:rsidRDefault="00D21E1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C7488E" w14:textId="5B8AC61D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B082D3F" w14:textId="6ABAD207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EC62BD" w14:textId="77777777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03BCCC0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 xml:space="preserve">Proč je dobré index sledovat: </w:t>
      </w:r>
      <w:r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</w:p>
    <w:p w14:paraId="7866AA4E" w14:textId="77777777" w:rsidR="00E32181" w:rsidRDefault="00D60D98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 xml:space="preserve">Specialistka PR a </w:t>
      </w:r>
      <w:r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55A61B97" w:rsidR="00E32181" w:rsidRDefault="008D397B" w:rsidP="00E32181">
      <w:pPr>
        <w:pStyle w:val="Bezmezer"/>
        <w:rPr>
          <w:rFonts w:ascii="Arial" w:eastAsia="Calibri" w:hAnsi="Arial" w:cs="Arial"/>
          <w:noProof/>
          <w:sz w:val="20"/>
          <w:szCs w:val="20"/>
        </w:rPr>
      </w:pPr>
      <w:r w:rsidRPr="00E32181">
        <w:rPr>
          <w:rFonts w:ascii="Arial" w:eastAsia="Calibri" w:hAnsi="Arial" w:cs="Arial"/>
          <w:bCs/>
          <w:noProof/>
          <w:sz w:val="20"/>
          <w:szCs w:val="20"/>
        </w:rPr>
        <w:t>Mobil: +420</w:t>
      </w:r>
      <w:r w:rsidRPr="00E32181">
        <w:rPr>
          <w:rFonts w:ascii="Arial" w:eastAsia="Calibri" w:hAnsi="Arial" w:cs="Arial"/>
          <w:noProof/>
          <w:sz w:val="20"/>
          <w:szCs w:val="20"/>
        </w:rPr>
        <w:t> 731 537</w:t>
      </w:r>
      <w:r w:rsidR="00E32181">
        <w:rPr>
          <w:rFonts w:ascii="Arial" w:eastAsia="Calibri" w:hAnsi="Arial" w:cs="Arial"/>
          <w:noProof/>
          <w:sz w:val="20"/>
          <w:szCs w:val="20"/>
        </w:rPr>
        <w:t> </w:t>
      </w:r>
      <w:r w:rsidRPr="00E32181">
        <w:rPr>
          <w:rFonts w:ascii="Arial" w:eastAsia="Calibri" w:hAnsi="Arial" w:cs="Arial"/>
          <w:noProof/>
          <w:sz w:val="20"/>
          <w:szCs w:val="20"/>
        </w:rPr>
        <w:t>716</w:t>
      </w:r>
    </w:p>
    <w:p w14:paraId="7F1C61B2" w14:textId="3B58B736" w:rsidR="008D397B" w:rsidRPr="00E32181" w:rsidRDefault="008D397B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E32181">
        <w:rPr>
          <w:rFonts w:ascii="Arial" w:eastAsia="Calibri" w:hAnsi="Arial" w:cs="Arial"/>
          <w:noProof/>
          <w:sz w:val="20"/>
          <w:szCs w:val="20"/>
        </w:rPr>
        <w:t xml:space="preserve">E-mail: </w:t>
      </w:r>
      <w:hyperlink r:id="rId25" w:history="1">
        <w:r w:rsidRPr="00E32181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B852C" w14:textId="77777777" w:rsidR="00245954" w:rsidRDefault="00245954">
      <w:r>
        <w:separator/>
      </w:r>
    </w:p>
  </w:endnote>
  <w:endnote w:type="continuationSeparator" w:id="0">
    <w:p w14:paraId="60124DD1" w14:textId="77777777" w:rsidR="00245954" w:rsidRDefault="00245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245954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633E13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245954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633E13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245954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633E13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CF9F3" w14:textId="77777777" w:rsidR="00245954" w:rsidRDefault="00245954">
      <w:r>
        <w:separator/>
      </w:r>
    </w:p>
  </w:footnote>
  <w:footnote w:type="continuationSeparator" w:id="0">
    <w:p w14:paraId="7A03DC96" w14:textId="77777777" w:rsidR="00245954" w:rsidRDefault="00245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566C8F" w:rsidR="00B65A3B" w:rsidRPr="00B65A3B" w:rsidRDefault="009F2CEE" w:rsidP="009F2C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611E3"/>
    <w:rsid w:val="000766E7"/>
    <w:rsid w:val="00081616"/>
    <w:rsid w:val="000853D4"/>
    <w:rsid w:val="0009776B"/>
    <w:rsid w:val="000B060E"/>
    <w:rsid w:val="000D14E2"/>
    <w:rsid w:val="000E3D86"/>
    <w:rsid w:val="000F6249"/>
    <w:rsid w:val="001068FC"/>
    <w:rsid w:val="001103A6"/>
    <w:rsid w:val="00111C28"/>
    <w:rsid w:val="001152A6"/>
    <w:rsid w:val="00122CD1"/>
    <w:rsid w:val="001253CC"/>
    <w:rsid w:val="0013044E"/>
    <w:rsid w:val="00131A69"/>
    <w:rsid w:val="00136D8D"/>
    <w:rsid w:val="00137003"/>
    <w:rsid w:val="0013717C"/>
    <w:rsid w:val="00145B8B"/>
    <w:rsid w:val="00156082"/>
    <w:rsid w:val="001675AF"/>
    <w:rsid w:val="0017084B"/>
    <w:rsid w:val="001767A5"/>
    <w:rsid w:val="00192716"/>
    <w:rsid w:val="0019453C"/>
    <w:rsid w:val="001A54DD"/>
    <w:rsid w:val="001B501B"/>
    <w:rsid w:val="001D015A"/>
    <w:rsid w:val="001D3DFC"/>
    <w:rsid w:val="001E4209"/>
    <w:rsid w:val="001F7194"/>
    <w:rsid w:val="001F71BA"/>
    <w:rsid w:val="002141AF"/>
    <w:rsid w:val="002368F3"/>
    <w:rsid w:val="00241313"/>
    <w:rsid w:val="00245954"/>
    <w:rsid w:val="0025264B"/>
    <w:rsid w:val="0025428A"/>
    <w:rsid w:val="00265810"/>
    <w:rsid w:val="0026621E"/>
    <w:rsid w:val="00270DB3"/>
    <w:rsid w:val="00276C57"/>
    <w:rsid w:val="002A5439"/>
    <w:rsid w:val="002B43B8"/>
    <w:rsid w:val="002C24D4"/>
    <w:rsid w:val="002D539D"/>
    <w:rsid w:val="002F002B"/>
    <w:rsid w:val="002F3074"/>
    <w:rsid w:val="002F485A"/>
    <w:rsid w:val="002F7EC2"/>
    <w:rsid w:val="00307E95"/>
    <w:rsid w:val="003128F8"/>
    <w:rsid w:val="003247B0"/>
    <w:rsid w:val="00330918"/>
    <w:rsid w:val="003326F9"/>
    <w:rsid w:val="00334048"/>
    <w:rsid w:val="00342F85"/>
    <w:rsid w:val="00347557"/>
    <w:rsid w:val="00347D68"/>
    <w:rsid w:val="00352515"/>
    <w:rsid w:val="00355366"/>
    <w:rsid w:val="003629B6"/>
    <w:rsid w:val="003721AD"/>
    <w:rsid w:val="003805E6"/>
    <w:rsid w:val="00383DC5"/>
    <w:rsid w:val="00385EED"/>
    <w:rsid w:val="00390B58"/>
    <w:rsid w:val="003A6435"/>
    <w:rsid w:val="003B0E4F"/>
    <w:rsid w:val="003C0CBE"/>
    <w:rsid w:val="003D10B1"/>
    <w:rsid w:val="003D1987"/>
    <w:rsid w:val="003F79EC"/>
    <w:rsid w:val="00421847"/>
    <w:rsid w:val="0042193A"/>
    <w:rsid w:val="00421BEC"/>
    <w:rsid w:val="00445D0A"/>
    <w:rsid w:val="00454843"/>
    <w:rsid w:val="004627B9"/>
    <w:rsid w:val="004766EC"/>
    <w:rsid w:val="004B5797"/>
    <w:rsid w:val="004C3F71"/>
    <w:rsid w:val="004C7DDE"/>
    <w:rsid w:val="004E7AEB"/>
    <w:rsid w:val="004E7E0B"/>
    <w:rsid w:val="0050659B"/>
    <w:rsid w:val="00512B46"/>
    <w:rsid w:val="005153F7"/>
    <w:rsid w:val="005218FE"/>
    <w:rsid w:val="005224C1"/>
    <w:rsid w:val="0053153F"/>
    <w:rsid w:val="00536954"/>
    <w:rsid w:val="00540606"/>
    <w:rsid w:val="00541870"/>
    <w:rsid w:val="005436EC"/>
    <w:rsid w:val="00544A37"/>
    <w:rsid w:val="0055263D"/>
    <w:rsid w:val="005663AE"/>
    <w:rsid w:val="00576F53"/>
    <w:rsid w:val="00577D19"/>
    <w:rsid w:val="005A37E5"/>
    <w:rsid w:val="005A481B"/>
    <w:rsid w:val="005A5BBA"/>
    <w:rsid w:val="005A5F08"/>
    <w:rsid w:val="005B31D7"/>
    <w:rsid w:val="005E51C5"/>
    <w:rsid w:val="005E7952"/>
    <w:rsid w:val="005F0E46"/>
    <w:rsid w:val="005F7090"/>
    <w:rsid w:val="00603538"/>
    <w:rsid w:val="0061253F"/>
    <w:rsid w:val="006135FD"/>
    <w:rsid w:val="0062480B"/>
    <w:rsid w:val="0062747C"/>
    <w:rsid w:val="006307A5"/>
    <w:rsid w:val="00630C84"/>
    <w:rsid w:val="00631E38"/>
    <w:rsid w:val="00631E80"/>
    <w:rsid w:val="00633E13"/>
    <w:rsid w:val="00637BCA"/>
    <w:rsid w:val="0064160C"/>
    <w:rsid w:val="0065659A"/>
    <w:rsid w:val="0066135D"/>
    <w:rsid w:val="00667012"/>
    <w:rsid w:val="00670237"/>
    <w:rsid w:val="006768F0"/>
    <w:rsid w:val="00677078"/>
    <w:rsid w:val="0068195B"/>
    <w:rsid w:val="00683626"/>
    <w:rsid w:val="0068617E"/>
    <w:rsid w:val="00686364"/>
    <w:rsid w:val="006939E4"/>
    <w:rsid w:val="006A2F6C"/>
    <w:rsid w:val="006A3BE2"/>
    <w:rsid w:val="006C61E8"/>
    <w:rsid w:val="006D65EC"/>
    <w:rsid w:val="006E26DC"/>
    <w:rsid w:val="006F052D"/>
    <w:rsid w:val="006F32FB"/>
    <w:rsid w:val="00705D83"/>
    <w:rsid w:val="0071058C"/>
    <w:rsid w:val="0072112F"/>
    <w:rsid w:val="0073328E"/>
    <w:rsid w:val="0073706E"/>
    <w:rsid w:val="007373A6"/>
    <w:rsid w:val="0073790D"/>
    <w:rsid w:val="00757D8B"/>
    <w:rsid w:val="00761D9B"/>
    <w:rsid w:val="00771B91"/>
    <w:rsid w:val="00771DFE"/>
    <w:rsid w:val="007824F4"/>
    <w:rsid w:val="00784109"/>
    <w:rsid w:val="00785FC5"/>
    <w:rsid w:val="0078631B"/>
    <w:rsid w:val="00786BA5"/>
    <w:rsid w:val="00791A2B"/>
    <w:rsid w:val="00792EE9"/>
    <w:rsid w:val="0079572A"/>
    <w:rsid w:val="007A1121"/>
    <w:rsid w:val="007A1122"/>
    <w:rsid w:val="007A15A6"/>
    <w:rsid w:val="007A5987"/>
    <w:rsid w:val="007B232E"/>
    <w:rsid w:val="007B358E"/>
    <w:rsid w:val="007E1FBA"/>
    <w:rsid w:val="007E5614"/>
    <w:rsid w:val="008005EB"/>
    <w:rsid w:val="00807CDD"/>
    <w:rsid w:val="00812E77"/>
    <w:rsid w:val="0081387C"/>
    <w:rsid w:val="0081466F"/>
    <w:rsid w:val="00821B36"/>
    <w:rsid w:val="0083053E"/>
    <w:rsid w:val="00831B5E"/>
    <w:rsid w:val="00833A44"/>
    <w:rsid w:val="0084178F"/>
    <w:rsid w:val="00845A34"/>
    <w:rsid w:val="00851C45"/>
    <w:rsid w:val="00883A3E"/>
    <w:rsid w:val="00885B2F"/>
    <w:rsid w:val="00890117"/>
    <w:rsid w:val="008926E5"/>
    <w:rsid w:val="008926F3"/>
    <w:rsid w:val="00893577"/>
    <w:rsid w:val="008A04D3"/>
    <w:rsid w:val="008C1795"/>
    <w:rsid w:val="008C4B0D"/>
    <w:rsid w:val="008C6335"/>
    <w:rsid w:val="008D397B"/>
    <w:rsid w:val="008E19F3"/>
    <w:rsid w:val="008F6AAF"/>
    <w:rsid w:val="00906176"/>
    <w:rsid w:val="00906E67"/>
    <w:rsid w:val="00915ADA"/>
    <w:rsid w:val="009222C9"/>
    <w:rsid w:val="00932625"/>
    <w:rsid w:val="009344C2"/>
    <w:rsid w:val="00941B52"/>
    <w:rsid w:val="0094705C"/>
    <w:rsid w:val="00957B41"/>
    <w:rsid w:val="00957DEA"/>
    <w:rsid w:val="00982987"/>
    <w:rsid w:val="009A69B1"/>
    <w:rsid w:val="009C0ECA"/>
    <w:rsid w:val="009C0F81"/>
    <w:rsid w:val="009C45BA"/>
    <w:rsid w:val="009D05AD"/>
    <w:rsid w:val="009D2ECE"/>
    <w:rsid w:val="009D68F9"/>
    <w:rsid w:val="009E317D"/>
    <w:rsid w:val="009E3B52"/>
    <w:rsid w:val="009F2CB2"/>
    <w:rsid w:val="009F2CEE"/>
    <w:rsid w:val="009F59EE"/>
    <w:rsid w:val="00A069E2"/>
    <w:rsid w:val="00A11C0F"/>
    <w:rsid w:val="00A11C90"/>
    <w:rsid w:val="00A12A99"/>
    <w:rsid w:val="00A36D79"/>
    <w:rsid w:val="00A4618A"/>
    <w:rsid w:val="00A77932"/>
    <w:rsid w:val="00A7796E"/>
    <w:rsid w:val="00A82DA1"/>
    <w:rsid w:val="00AA218A"/>
    <w:rsid w:val="00AC614D"/>
    <w:rsid w:val="00AE548F"/>
    <w:rsid w:val="00B0678D"/>
    <w:rsid w:val="00B11974"/>
    <w:rsid w:val="00B12CF8"/>
    <w:rsid w:val="00B15519"/>
    <w:rsid w:val="00B244B9"/>
    <w:rsid w:val="00B27178"/>
    <w:rsid w:val="00B41CE5"/>
    <w:rsid w:val="00B43ABC"/>
    <w:rsid w:val="00B51125"/>
    <w:rsid w:val="00B52CDF"/>
    <w:rsid w:val="00B65A3B"/>
    <w:rsid w:val="00B731F5"/>
    <w:rsid w:val="00B75627"/>
    <w:rsid w:val="00B80A35"/>
    <w:rsid w:val="00B87498"/>
    <w:rsid w:val="00B90112"/>
    <w:rsid w:val="00B90487"/>
    <w:rsid w:val="00B95BB2"/>
    <w:rsid w:val="00B95EBA"/>
    <w:rsid w:val="00BA1FA3"/>
    <w:rsid w:val="00BA23D8"/>
    <w:rsid w:val="00BB4D49"/>
    <w:rsid w:val="00BB6439"/>
    <w:rsid w:val="00BB675F"/>
    <w:rsid w:val="00BD17B0"/>
    <w:rsid w:val="00BD5A47"/>
    <w:rsid w:val="00BF4A15"/>
    <w:rsid w:val="00BF7A45"/>
    <w:rsid w:val="00C23E32"/>
    <w:rsid w:val="00C31207"/>
    <w:rsid w:val="00C42FAF"/>
    <w:rsid w:val="00C60B08"/>
    <w:rsid w:val="00C864DC"/>
    <w:rsid w:val="00C878E5"/>
    <w:rsid w:val="00CA1722"/>
    <w:rsid w:val="00CA4711"/>
    <w:rsid w:val="00CB18B1"/>
    <w:rsid w:val="00CB2780"/>
    <w:rsid w:val="00CB38CA"/>
    <w:rsid w:val="00CB6F2B"/>
    <w:rsid w:val="00CC1067"/>
    <w:rsid w:val="00CC580E"/>
    <w:rsid w:val="00CC5BA3"/>
    <w:rsid w:val="00CD3324"/>
    <w:rsid w:val="00CE6C6E"/>
    <w:rsid w:val="00D01832"/>
    <w:rsid w:val="00D118CC"/>
    <w:rsid w:val="00D17C70"/>
    <w:rsid w:val="00D21C96"/>
    <w:rsid w:val="00D21E1C"/>
    <w:rsid w:val="00D30854"/>
    <w:rsid w:val="00D31127"/>
    <w:rsid w:val="00D50703"/>
    <w:rsid w:val="00D60D98"/>
    <w:rsid w:val="00D76C6E"/>
    <w:rsid w:val="00D80B6D"/>
    <w:rsid w:val="00D8513A"/>
    <w:rsid w:val="00D85BBB"/>
    <w:rsid w:val="00D94CEA"/>
    <w:rsid w:val="00D9690A"/>
    <w:rsid w:val="00DA13A4"/>
    <w:rsid w:val="00DA7B87"/>
    <w:rsid w:val="00DB63D9"/>
    <w:rsid w:val="00DB7E77"/>
    <w:rsid w:val="00DC30D0"/>
    <w:rsid w:val="00DC3F71"/>
    <w:rsid w:val="00DD4BDD"/>
    <w:rsid w:val="00DE5847"/>
    <w:rsid w:val="00E00DC6"/>
    <w:rsid w:val="00E058A3"/>
    <w:rsid w:val="00E151F3"/>
    <w:rsid w:val="00E15A82"/>
    <w:rsid w:val="00E17539"/>
    <w:rsid w:val="00E32181"/>
    <w:rsid w:val="00E57F9B"/>
    <w:rsid w:val="00E6319B"/>
    <w:rsid w:val="00E64D70"/>
    <w:rsid w:val="00E6726D"/>
    <w:rsid w:val="00E67581"/>
    <w:rsid w:val="00E81433"/>
    <w:rsid w:val="00E81C95"/>
    <w:rsid w:val="00E852A3"/>
    <w:rsid w:val="00E909E2"/>
    <w:rsid w:val="00E92A9E"/>
    <w:rsid w:val="00EA0C1C"/>
    <w:rsid w:val="00EA477A"/>
    <w:rsid w:val="00EC73D3"/>
    <w:rsid w:val="00EC7F0E"/>
    <w:rsid w:val="00ED2D1F"/>
    <w:rsid w:val="00ED58E9"/>
    <w:rsid w:val="00ED79D6"/>
    <w:rsid w:val="00EE1831"/>
    <w:rsid w:val="00EF2F7C"/>
    <w:rsid w:val="00EF6135"/>
    <w:rsid w:val="00F00576"/>
    <w:rsid w:val="00F1156B"/>
    <w:rsid w:val="00F14982"/>
    <w:rsid w:val="00F17CF8"/>
    <w:rsid w:val="00F225DC"/>
    <w:rsid w:val="00F23006"/>
    <w:rsid w:val="00F2598D"/>
    <w:rsid w:val="00F336A2"/>
    <w:rsid w:val="00F44AEB"/>
    <w:rsid w:val="00F45620"/>
    <w:rsid w:val="00F5470D"/>
    <w:rsid w:val="00F63CCA"/>
    <w:rsid w:val="00F852D9"/>
    <w:rsid w:val="00F87177"/>
    <w:rsid w:val="00F9173C"/>
    <w:rsid w:val="00F96EED"/>
    <w:rsid w:val="00FB18D0"/>
    <w:rsid w:val="00FB2ED6"/>
    <w:rsid w:val="00FC2522"/>
    <w:rsid w:val="00FC31B6"/>
    <w:rsid w:val="00FC5B56"/>
    <w:rsid w:val="00FD4B12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6EBEF-22B2-4A8A-91BE-3B22D2A2E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1040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7</cp:revision>
  <dcterms:created xsi:type="dcterms:W3CDTF">2021-06-03T07:43:00Z</dcterms:created>
  <dcterms:modified xsi:type="dcterms:W3CDTF">2021-06-10T07:19:00Z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