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1A6802"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b/>
              <w:color w:val="1D1D1B"/>
              <w:sz w:val="24"/>
            </w:rPr>
            <w:t>INDEX HYPOTEČNÍCH ÚVĚRŮ</w:t>
          </w:r>
          <w:r w:rsidRPr="004B5797">
            <w:rPr>
              <w:rFonts w:ascii="Arial" w:hAnsi="Arial" w:cs="Arial"/>
              <w:color w:val="1D1D1B"/>
              <w:sz w:val="24"/>
            </w:rPr>
            <w:t xml:space="preserve">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color w:val="1D1D1B"/>
              <w:sz w:val="24"/>
            </w:rPr>
            <w:t>INDEX PODÍLOVÝCH FONDŮ</w:t>
          </w:r>
          <w:r w:rsidRPr="004B5797">
            <w:rPr>
              <w:rFonts w:ascii="Arial" w:hAnsi="Arial" w:cs="Arial"/>
              <w:color w:val="1D1D1B"/>
              <w:sz w:val="24"/>
            </w:rPr>
            <w:t xml:space="preserve">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77777777"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POV INDEX </w:t>
          </w:r>
        </w:p>
        <w:p w14:paraId="5B21B8A6" w14:textId="77777777" w:rsidR="00D80B6D" w:rsidRPr="009F2CEE" w:rsidRDefault="00D80B6D" w:rsidP="00D80B6D">
          <w:pPr>
            <w:spacing w:before="230"/>
            <w:ind w:left="165"/>
            <w:jc w:val="center"/>
            <w:rPr>
              <w:rFonts w:ascii="Arial" w:hAnsi="Arial" w:cs="Arial"/>
              <w:color w:val="CD1719"/>
              <w:sz w:val="24"/>
            </w:rPr>
          </w:pPr>
          <w:r w:rsidRPr="009F2CEE">
            <w:rPr>
              <w:rFonts w:ascii="Arial" w:hAnsi="Arial" w:cs="Arial"/>
              <w:color w:val="1D1D1B"/>
              <w:sz w:val="24"/>
            </w:rPr>
            <w:t xml:space="preserve">INDEX SPOTŘEBITELSKÝCH ÚVĚRŮ </w:t>
          </w:r>
          <w:r w:rsidRPr="009F2CEE">
            <w:rPr>
              <w:rFonts w:ascii="Arial" w:hAnsi="Arial" w:cs="Arial"/>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891EFE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007B232E" w:rsidRPr="00F6177F">
              <w:rPr>
                <w:rStyle w:val="Hypertextovodkaz"/>
                <w:rFonts w:ascii="Arial" w:hAnsi="Arial" w:cs="Arial"/>
                <w:sz w:val="18"/>
                <w:szCs w:val="18"/>
              </w:rPr>
              <w:t>bcas.cz</w:t>
            </w:r>
          </w:hyperlink>
          <w:r w:rsidRPr="007B232E">
            <w:rPr>
              <w:rStyle w:val="Hypertextovodkaz"/>
              <w:rFonts w:ascii="Arial" w:hAnsi="Arial" w:cs="Arial"/>
              <w:sz w:val="18"/>
              <w:szCs w:val="18"/>
              <w:u w:val="none"/>
            </w:rPr>
            <w:t xml:space="preserve">, </w:t>
          </w:r>
          <w:hyperlink r:id="rId10" w:history="1">
            <w:r w:rsidR="007B232E" w:rsidRPr="00F6177F">
              <w:rPr>
                <w:rStyle w:val="Hypertextovodkaz"/>
                <w:rFonts w:ascii="Arial" w:hAnsi="Arial" w:cs="Arial"/>
                <w:sz w:val="18"/>
                <w:szCs w:val="18"/>
              </w:rPr>
              <w:t>okpointy.cz</w:t>
            </w:r>
          </w:hyperlink>
          <w:r w:rsidR="007B232E" w:rsidRPr="007B232E">
            <w:rPr>
              <w:rStyle w:val="Hypertextovodkaz"/>
              <w:rFonts w:ascii="Arial" w:hAnsi="Arial" w:cs="Arial"/>
              <w:color w:val="FF0000"/>
              <w:sz w:val="18"/>
              <w:szCs w:val="18"/>
              <w:u w:val="none"/>
            </w:rPr>
            <w:t xml:space="preserve">, </w:t>
          </w:r>
          <w:hyperlink r:id="rId11" w:history="1">
            <w:r w:rsidR="007B232E" w:rsidRPr="007B232E">
              <w:rPr>
                <w:rStyle w:val="Hypertextovodkaz"/>
                <w:rFonts w:ascii="Arial" w:hAnsi="Arial" w:cs="Arial"/>
                <w:sz w:val="18"/>
                <w:szCs w:val="18"/>
              </w:rPr>
              <w:t>okpoint.tv</w:t>
            </w:r>
          </w:hyperlink>
          <w:r w:rsidRPr="00FC2522">
            <w:rPr>
              <w:rStyle w:val="dn"/>
              <w:rFonts w:ascii="Arial" w:hAnsi="Arial" w:cs="Arial"/>
              <w:sz w:val="18"/>
              <w:szCs w:val="18"/>
            </w:rPr>
            <w:t xml:space="preserve"> a na </w:t>
          </w:r>
          <w:hyperlink r:id="rId12" w:history="1">
            <w:r w:rsidRPr="007B232E">
              <w:rPr>
                <w:rStyle w:val="Hypertextovodkaz"/>
                <w:rFonts w:ascii="Arial" w:hAnsi="Arial" w:cs="Arial"/>
                <w:sz w:val="18"/>
                <w:szCs w:val="18"/>
              </w:rPr>
              <w:t>realityspolu.cz</w:t>
            </w:r>
          </w:hyperlink>
          <w:r w:rsidR="007B232E" w:rsidRPr="007B232E">
            <w:rPr>
              <w:rStyle w:val="Hypertextovodkaz"/>
              <w:rFonts w:ascii="Arial" w:hAnsi="Arial" w:cs="Arial"/>
              <w:color w:val="FF0000"/>
              <w:sz w:val="18"/>
              <w:szCs w:val="18"/>
              <w:u w:val="none"/>
            </w:rPr>
            <w:t xml:space="preserve">. </w:t>
          </w:r>
          <w:r w:rsidRPr="00FC2522">
            <w:rPr>
              <w:rStyle w:val="dn"/>
              <w:rFonts w:ascii="Arial" w:hAnsi="Arial" w:cs="Arial"/>
              <w:sz w:val="18"/>
              <w:szCs w:val="18"/>
            </w:rPr>
            <w:t xml:space="preserve">Navštivte také náš </w:t>
          </w:r>
          <w:hyperlink r:id="rId13"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4" w:history="1">
            <w:r w:rsidRPr="007B232E">
              <w:rPr>
                <w:rStyle w:val="Hypertextovodkaz"/>
                <w:rFonts w:ascii="Arial" w:hAnsi="Arial" w:cs="Arial"/>
                <w:color w:val="0066FF"/>
                <w:sz w:val="18"/>
                <w:szCs w:val="18"/>
              </w:rPr>
              <w:t>LinkedIN</w:t>
            </w:r>
          </w:hyperlink>
          <w:r w:rsidRPr="00FC2522">
            <w:rPr>
              <w:rStyle w:val="dn"/>
              <w:rFonts w:ascii="Arial" w:hAnsi="Arial" w:cs="Arial"/>
              <w:sz w:val="18"/>
              <w:szCs w:val="18"/>
            </w:rPr>
            <w:t xml:space="preserve"> Broker Consulting a </w:t>
          </w:r>
          <w:hyperlink r:id="rId15"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6" w:history="1">
            <w:r w:rsidRPr="007B232E">
              <w:rPr>
                <w:rStyle w:val="Hypertextovodkaz"/>
                <w:rFonts w:ascii="Arial" w:hAnsi="Arial" w:cs="Arial"/>
                <w:color w:val="0066FF"/>
                <w:sz w:val="18"/>
                <w:szCs w:val="18"/>
              </w:rPr>
              <w:t>LinkedI</w:t>
            </w:r>
          </w:hyperlink>
          <w:r w:rsidRPr="007B232E">
            <w:rPr>
              <w:rStyle w:val="Hypertextovodkaz"/>
              <w:rFonts w:ascii="Arial" w:hAnsi="Arial" w:cs="Arial"/>
              <w:color w:val="0066FF"/>
              <w:sz w:val="18"/>
              <w:szCs w:val="18"/>
            </w:rPr>
            <w:t>N</w:t>
          </w:r>
          <w:r w:rsidRPr="007B232E">
            <w:rPr>
              <w:rStyle w:val="dn"/>
              <w:rFonts w:ascii="Arial" w:hAnsi="Arial" w:cs="Arial"/>
              <w:color w:val="0066FF"/>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FC2522" w:rsidRDefault="00096425" w:rsidP="0025264B">
          <w:pPr>
            <w:rPr>
              <w:rFonts w:ascii="Arial" w:hAnsi="Arial" w:cs="Arial"/>
              <w:b/>
              <w:sz w:val="20"/>
              <w:szCs w:val="20"/>
              <w:highlight w:val="yellow"/>
            </w:rPr>
            <w:sectPr w:rsidR="00D31127" w:rsidRPr="00FC2522"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45655022" w14:textId="77777777" w:rsidR="0073009C" w:rsidRDefault="0073009C" w:rsidP="001675AF">
      <w:pPr>
        <w:jc w:val="center"/>
        <w:rPr>
          <w:rFonts w:ascii="Arial" w:hAnsi="Arial" w:cs="Arial"/>
          <w:b/>
          <w:sz w:val="24"/>
          <w:szCs w:val="24"/>
        </w:rPr>
      </w:pPr>
    </w:p>
    <w:p w14:paraId="303CCAEC" w14:textId="77777777" w:rsidR="00CC0CB0" w:rsidRDefault="00CC0CB0" w:rsidP="001675AF">
      <w:pPr>
        <w:jc w:val="center"/>
        <w:rPr>
          <w:rFonts w:ascii="Arial" w:hAnsi="Arial" w:cs="Arial"/>
          <w:b/>
          <w:sz w:val="24"/>
          <w:szCs w:val="24"/>
        </w:rPr>
      </w:pPr>
    </w:p>
    <w:p w14:paraId="428A29B0" w14:textId="16E736C1" w:rsidR="00982987" w:rsidRPr="00D73F33" w:rsidRDefault="00D73F33" w:rsidP="001675AF">
      <w:pPr>
        <w:jc w:val="center"/>
        <w:rPr>
          <w:rFonts w:ascii="Arial" w:hAnsi="Arial" w:cs="Arial"/>
          <w:b/>
          <w:sz w:val="28"/>
          <w:szCs w:val="28"/>
        </w:rPr>
      </w:pPr>
      <w:r w:rsidRPr="00D73F33">
        <w:rPr>
          <w:rFonts w:ascii="Arial" w:hAnsi="Arial" w:cs="Arial"/>
          <w:b/>
          <w:sz w:val="28"/>
          <w:szCs w:val="28"/>
        </w:rPr>
        <w:t>Průměrná úroková sazba u </w:t>
      </w:r>
      <w:r w:rsidR="00BF4092">
        <w:rPr>
          <w:rFonts w:ascii="Arial" w:hAnsi="Arial" w:cs="Arial"/>
          <w:b/>
          <w:sz w:val="28"/>
          <w:szCs w:val="28"/>
        </w:rPr>
        <w:t xml:space="preserve">hypotečních úvěrů </w:t>
      </w:r>
      <w:r w:rsidRPr="00D73F33">
        <w:rPr>
          <w:rFonts w:ascii="Arial" w:hAnsi="Arial" w:cs="Arial"/>
          <w:b/>
          <w:sz w:val="28"/>
          <w:szCs w:val="28"/>
        </w:rPr>
        <w:t xml:space="preserve">v květnu vzrostla na 2,15 %, </w:t>
      </w:r>
      <w:r w:rsidR="002863CE">
        <w:rPr>
          <w:rFonts w:ascii="Arial" w:hAnsi="Arial" w:cs="Arial"/>
          <w:b/>
          <w:sz w:val="28"/>
          <w:szCs w:val="28"/>
        </w:rPr>
        <w:t xml:space="preserve">cena úvěru </w:t>
      </w:r>
      <w:r w:rsidR="00D943AD">
        <w:rPr>
          <w:rFonts w:ascii="Arial" w:hAnsi="Arial" w:cs="Arial"/>
          <w:b/>
          <w:sz w:val="28"/>
          <w:szCs w:val="28"/>
        </w:rPr>
        <w:t>je nyní o 30 % v</w:t>
      </w:r>
      <w:r w:rsidR="00CD46EA">
        <w:rPr>
          <w:rFonts w:ascii="Arial" w:hAnsi="Arial" w:cs="Arial"/>
          <w:b/>
          <w:sz w:val="28"/>
          <w:szCs w:val="28"/>
        </w:rPr>
        <w:t xml:space="preserve">yšší </w:t>
      </w:r>
      <w:r w:rsidR="00D943AD">
        <w:rPr>
          <w:rFonts w:ascii="Arial" w:hAnsi="Arial" w:cs="Arial"/>
          <w:b/>
          <w:sz w:val="28"/>
          <w:szCs w:val="28"/>
        </w:rPr>
        <w:t>než před dvěma lety</w:t>
      </w:r>
      <w:r w:rsidR="002863CE">
        <w:rPr>
          <w:rFonts w:ascii="Arial" w:hAnsi="Arial" w:cs="Arial"/>
          <w:b/>
          <w:sz w:val="28"/>
          <w:szCs w:val="28"/>
        </w:rPr>
        <w:t xml:space="preserve"> </w:t>
      </w:r>
    </w:p>
    <w:p w14:paraId="7467897D" w14:textId="4CCE2F85" w:rsidR="00C23E32" w:rsidRPr="00BB51F4" w:rsidRDefault="00C23E32" w:rsidP="00B27178">
      <w:pPr>
        <w:jc w:val="both"/>
        <w:rPr>
          <w:rFonts w:ascii="Arial" w:hAnsi="Arial" w:cs="Arial"/>
          <w:b/>
          <w:sz w:val="20"/>
          <w:szCs w:val="20"/>
        </w:rPr>
      </w:pPr>
    </w:p>
    <w:p w14:paraId="1809EC78" w14:textId="77777777" w:rsidR="00CC0CB0" w:rsidRPr="00BB51F4" w:rsidRDefault="00CC0CB0" w:rsidP="00CA7CAF">
      <w:pPr>
        <w:jc w:val="both"/>
        <w:rPr>
          <w:rFonts w:ascii="Arial" w:hAnsi="Arial" w:cs="Arial"/>
          <w:i/>
          <w:sz w:val="20"/>
          <w:szCs w:val="20"/>
        </w:rPr>
      </w:pPr>
    </w:p>
    <w:p w14:paraId="0B1926DC" w14:textId="30192DB5" w:rsidR="00307FEB" w:rsidRPr="00BB51F4" w:rsidRDefault="00E6319B" w:rsidP="00BB51F4">
      <w:pPr>
        <w:jc w:val="both"/>
        <w:rPr>
          <w:rFonts w:ascii="Arial" w:hAnsi="Arial" w:cs="Arial"/>
          <w:b/>
          <w:sz w:val="20"/>
          <w:szCs w:val="20"/>
        </w:rPr>
      </w:pPr>
      <w:r w:rsidRPr="00BB51F4">
        <w:rPr>
          <w:rFonts w:ascii="Arial" w:hAnsi="Arial" w:cs="Arial"/>
          <w:i/>
          <w:sz w:val="20"/>
          <w:szCs w:val="20"/>
        </w:rPr>
        <w:t xml:space="preserve">Praha, </w:t>
      </w:r>
      <w:r w:rsidR="0024212A">
        <w:rPr>
          <w:rFonts w:ascii="Arial" w:hAnsi="Arial" w:cs="Arial"/>
          <w:i/>
          <w:sz w:val="20"/>
          <w:szCs w:val="20"/>
        </w:rPr>
        <w:t>1</w:t>
      </w:r>
      <w:r w:rsidR="00A93638">
        <w:rPr>
          <w:rFonts w:ascii="Arial" w:hAnsi="Arial" w:cs="Arial"/>
          <w:i/>
          <w:sz w:val="20"/>
          <w:szCs w:val="20"/>
        </w:rPr>
        <w:t>6</w:t>
      </w:r>
      <w:r w:rsidR="003A4D47" w:rsidRPr="00BB51F4">
        <w:rPr>
          <w:rFonts w:ascii="Arial" w:hAnsi="Arial" w:cs="Arial"/>
          <w:i/>
          <w:sz w:val="20"/>
          <w:szCs w:val="20"/>
        </w:rPr>
        <w:t>.</w:t>
      </w:r>
      <w:r w:rsidRPr="00BB51F4">
        <w:rPr>
          <w:rFonts w:ascii="Arial" w:hAnsi="Arial" w:cs="Arial"/>
          <w:i/>
          <w:sz w:val="20"/>
          <w:szCs w:val="20"/>
        </w:rPr>
        <w:t xml:space="preserve"> </w:t>
      </w:r>
      <w:r w:rsidR="00487B6B" w:rsidRPr="00BB51F4">
        <w:rPr>
          <w:rFonts w:ascii="Arial" w:hAnsi="Arial" w:cs="Arial"/>
          <w:i/>
          <w:sz w:val="20"/>
          <w:szCs w:val="20"/>
        </w:rPr>
        <w:t>června</w:t>
      </w:r>
      <w:r w:rsidRPr="00BB51F4">
        <w:rPr>
          <w:rFonts w:ascii="Arial" w:hAnsi="Arial" w:cs="Arial"/>
          <w:i/>
          <w:sz w:val="20"/>
          <w:szCs w:val="20"/>
        </w:rPr>
        <w:t xml:space="preserve"> 2021</w:t>
      </w:r>
      <w:r w:rsidRPr="00BB51F4">
        <w:rPr>
          <w:rFonts w:ascii="Arial" w:hAnsi="Arial" w:cs="Arial"/>
          <w:sz w:val="20"/>
          <w:szCs w:val="20"/>
        </w:rPr>
        <w:t xml:space="preserve"> </w:t>
      </w:r>
      <w:r w:rsidR="000851AC" w:rsidRPr="00BB51F4">
        <w:rPr>
          <w:rFonts w:ascii="Arial" w:hAnsi="Arial" w:cs="Arial"/>
          <w:sz w:val="20"/>
          <w:szCs w:val="20"/>
        </w:rPr>
        <w:t>–</w:t>
      </w:r>
      <w:r w:rsidR="002D64A2" w:rsidRPr="00BB51F4">
        <w:rPr>
          <w:rFonts w:ascii="Arial" w:hAnsi="Arial" w:cs="Arial"/>
          <w:b/>
          <w:sz w:val="20"/>
          <w:szCs w:val="20"/>
        </w:rPr>
        <w:t xml:space="preserve"> Úrokové sazby u hypoték míří </w:t>
      </w:r>
      <w:r w:rsidR="00257978">
        <w:rPr>
          <w:rFonts w:ascii="Arial" w:hAnsi="Arial" w:cs="Arial"/>
          <w:b/>
          <w:sz w:val="20"/>
          <w:szCs w:val="20"/>
        </w:rPr>
        <w:t>už čtvrtý měsíc v řadě</w:t>
      </w:r>
      <w:r w:rsidR="00257978" w:rsidRPr="00BB51F4">
        <w:rPr>
          <w:rFonts w:ascii="Arial" w:hAnsi="Arial" w:cs="Arial"/>
          <w:b/>
          <w:sz w:val="20"/>
          <w:szCs w:val="20"/>
        </w:rPr>
        <w:t xml:space="preserve"> </w:t>
      </w:r>
      <w:r w:rsidR="002D64A2" w:rsidRPr="00BB51F4">
        <w:rPr>
          <w:rFonts w:ascii="Arial" w:hAnsi="Arial" w:cs="Arial"/>
          <w:b/>
          <w:sz w:val="20"/>
          <w:szCs w:val="20"/>
        </w:rPr>
        <w:t>vzhůru</w:t>
      </w:r>
      <w:r w:rsidR="00257978">
        <w:rPr>
          <w:rFonts w:ascii="Arial" w:hAnsi="Arial" w:cs="Arial"/>
          <w:b/>
          <w:sz w:val="20"/>
          <w:szCs w:val="20"/>
        </w:rPr>
        <w:t xml:space="preserve">. To </w:t>
      </w:r>
      <w:r w:rsidR="002D64A2" w:rsidRPr="00BB51F4">
        <w:rPr>
          <w:rFonts w:ascii="Arial" w:hAnsi="Arial" w:cs="Arial"/>
          <w:b/>
          <w:sz w:val="20"/>
          <w:szCs w:val="20"/>
        </w:rPr>
        <w:t xml:space="preserve">potvrdily i aktuální </w:t>
      </w:r>
      <w:r w:rsidR="005275F9" w:rsidRPr="00BB51F4">
        <w:rPr>
          <w:rFonts w:ascii="Arial" w:hAnsi="Arial" w:cs="Arial"/>
          <w:b/>
          <w:sz w:val="20"/>
          <w:szCs w:val="20"/>
        </w:rPr>
        <w:t xml:space="preserve">výsledky </w:t>
      </w:r>
      <w:r w:rsidR="005275F9" w:rsidRPr="00BB51F4">
        <w:rPr>
          <w:rFonts w:ascii="Arial" w:hAnsi="Arial" w:cs="Arial"/>
          <w:b/>
          <w:bCs/>
          <w:sz w:val="20"/>
          <w:szCs w:val="20"/>
          <w:shd w:val="clear" w:color="auto" w:fill="FFFFFF"/>
        </w:rPr>
        <w:t>Broker Consulting Indexu hypotečních úvěrů,</w:t>
      </w:r>
      <w:r w:rsidR="00D73F33">
        <w:rPr>
          <w:rFonts w:ascii="Arial" w:hAnsi="Arial" w:cs="Arial"/>
          <w:b/>
          <w:sz w:val="20"/>
          <w:szCs w:val="20"/>
        </w:rPr>
        <w:t xml:space="preserve"> podle kterých</w:t>
      </w:r>
      <w:r w:rsidR="002D64A2" w:rsidRPr="00BB51F4">
        <w:rPr>
          <w:rFonts w:ascii="Arial" w:hAnsi="Arial" w:cs="Arial"/>
          <w:b/>
          <w:sz w:val="20"/>
          <w:szCs w:val="20"/>
        </w:rPr>
        <w:t xml:space="preserve"> </w:t>
      </w:r>
      <w:r w:rsidR="00257978" w:rsidRPr="00BB51F4">
        <w:rPr>
          <w:rFonts w:ascii="Arial" w:hAnsi="Arial" w:cs="Arial"/>
          <w:b/>
          <w:bCs/>
          <w:sz w:val="20"/>
          <w:szCs w:val="20"/>
          <w:shd w:val="clear" w:color="auto" w:fill="FFFFFF"/>
        </w:rPr>
        <w:t xml:space="preserve">v květnu vzrostly </w:t>
      </w:r>
      <w:r w:rsidR="005275F9" w:rsidRPr="00BB51F4">
        <w:rPr>
          <w:rFonts w:ascii="Arial" w:hAnsi="Arial" w:cs="Arial"/>
          <w:b/>
          <w:bCs/>
          <w:sz w:val="20"/>
          <w:szCs w:val="20"/>
          <w:shd w:val="clear" w:color="auto" w:fill="FFFFFF"/>
        </w:rPr>
        <w:t xml:space="preserve">průměrné sazby na úroveň 2,15 %. </w:t>
      </w:r>
      <w:r w:rsidR="00DB7121" w:rsidRPr="00BB51F4">
        <w:rPr>
          <w:rFonts w:ascii="Arial" w:hAnsi="Arial" w:cs="Arial"/>
          <w:b/>
          <w:bCs/>
          <w:sz w:val="20"/>
          <w:szCs w:val="20"/>
          <w:shd w:val="clear" w:color="auto" w:fill="FFFFFF"/>
        </w:rPr>
        <w:t xml:space="preserve">Odborníci očekávají, </w:t>
      </w:r>
      <w:r w:rsidR="00307FEB" w:rsidRPr="00BB51F4">
        <w:rPr>
          <w:rFonts w:ascii="Arial" w:hAnsi="Arial" w:cs="Arial"/>
          <w:b/>
          <w:bCs/>
          <w:sz w:val="20"/>
          <w:szCs w:val="20"/>
          <w:shd w:val="clear" w:color="auto" w:fill="FFFFFF"/>
        </w:rPr>
        <w:t>že ke konci roku se sazby moho</w:t>
      </w:r>
      <w:r w:rsidR="00A62CCA">
        <w:rPr>
          <w:rFonts w:ascii="Arial" w:hAnsi="Arial" w:cs="Arial"/>
          <w:b/>
          <w:bCs/>
          <w:sz w:val="20"/>
          <w:szCs w:val="20"/>
          <w:shd w:val="clear" w:color="auto" w:fill="FFFFFF"/>
        </w:rPr>
        <w:t>u vyšplhat až k hranici 3 %</w:t>
      </w:r>
      <w:r w:rsidR="00307FEB" w:rsidRPr="00BB51F4">
        <w:rPr>
          <w:rFonts w:ascii="Arial" w:hAnsi="Arial" w:cs="Arial"/>
          <w:b/>
          <w:bCs/>
          <w:sz w:val="20"/>
          <w:szCs w:val="20"/>
          <w:shd w:val="clear" w:color="auto" w:fill="FFFFFF"/>
        </w:rPr>
        <w:t xml:space="preserve">. </w:t>
      </w:r>
      <w:r w:rsidR="00307FEB" w:rsidRPr="00BB51F4">
        <w:rPr>
          <w:rFonts w:ascii="Arial" w:hAnsi="Arial" w:cs="Arial"/>
          <w:b/>
          <w:sz w:val="20"/>
          <w:szCs w:val="20"/>
        </w:rPr>
        <w:t xml:space="preserve">V důsledku rostoucích cen nemovitostí </w:t>
      </w:r>
      <w:r w:rsidR="00DB7121" w:rsidRPr="00BB51F4">
        <w:rPr>
          <w:rFonts w:ascii="Arial" w:hAnsi="Arial" w:cs="Arial"/>
          <w:b/>
          <w:sz w:val="20"/>
          <w:szCs w:val="20"/>
        </w:rPr>
        <w:t xml:space="preserve">současně </w:t>
      </w:r>
      <w:r w:rsidR="00307FEB" w:rsidRPr="00BB51F4">
        <w:rPr>
          <w:rFonts w:ascii="Arial" w:hAnsi="Arial" w:cs="Arial"/>
          <w:b/>
          <w:bCs/>
          <w:sz w:val="20"/>
          <w:szCs w:val="20"/>
          <w:shd w:val="clear" w:color="auto" w:fill="FFFFFF"/>
        </w:rPr>
        <w:t xml:space="preserve">roste </w:t>
      </w:r>
      <w:r w:rsidR="00DB7121" w:rsidRPr="00BB51F4">
        <w:rPr>
          <w:rFonts w:ascii="Arial" w:hAnsi="Arial" w:cs="Arial"/>
          <w:b/>
          <w:bCs/>
          <w:sz w:val="20"/>
          <w:szCs w:val="20"/>
          <w:shd w:val="clear" w:color="auto" w:fill="FFFFFF"/>
        </w:rPr>
        <w:t>i</w:t>
      </w:r>
      <w:r w:rsidR="00307FEB" w:rsidRPr="00BB51F4">
        <w:rPr>
          <w:rFonts w:ascii="Arial" w:hAnsi="Arial" w:cs="Arial"/>
          <w:b/>
          <w:bCs/>
          <w:sz w:val="20"/>
          <w:szCs w:val="20"/>
          <w:shd w:val="clear" w:color="auto" w:fill="FFFFFF"/>
        </w:rPr>
        <w:t xml:space="preserve"> </w:t>
      </w:r>
      <w:r w:rsidR="00307FEB" w:rsidRPr="00BB51F4">
        <w:rPr>
          <w:rFonts w:ascii="Arial" w:hAnsi="Arial" w:cs="Arial"/>
          <w:b/>
          <w:sz w:val="20"/>
          <w:szCs w:val="20"/>
        </w:rPr>
        <w:t xml:space="preserve">průměrná </w:t>
      </w:r>
      <w:r w:rsidR="00CD46EA">
        <w:rPr>
          <w:rFonts w:ascii="Arial" w:hAnsi="Arial" w:cs="Arial"/>
          <w:b/>
          <w:sz w:val="20"/>
          <w:szCs w:val="20"/>
        </w:rPr>
        <w:t>cena</w:t>
      </w:r>
      <w:r w:rsidR="00307FEB" w:rsidRPr="00BB51F4">
        <w:rPr>
          <w:rFonts w:ascii="Arial" w:hAnsi="Arial" w:cs="Arial"/>
          <w:b/>
          <w:sz w:val="20"/>
          <w:szCs w:val="20"/>
        </w:rPr>
        <w:t xml:space="preserve"> hypotéky, která aktuálně dosahuje </w:t>
      </w:r>
      <w:r w:rsidR="00257978">
        <w:rPr>
          <w:rFonts w:ascii="Arial" w:hAnsi="Arial" w:cs="Arial"/>
          <w:b/>
          <w:sz w:val="20"/>
          <w:szCs w:val="20"/>
        </w:rPr>
        <w:t>2 925 582 korun</w:t>
      </w:r>
      <w:r w:rsidR="00473219">
        <w:rPr>
          <w:rFonts w:ascii="Arial" w:hAnsi="Arial" w:cs="Arial"/>
          <w:b/>
          <w:sz w:val="20"/>
          <w:szCs w:val="20"/>
        </w:rPr>
        <w:t xml:space="preserve">. Před dvěma lety přitom </w:t>
      </w:r>
      <w:r w:rsidR="00CD46EA">
        <w:rPr>
          <w:rFonts w:ascii="Arial" w:hAnsi="Arial" w:cs="Arial"/>
          <w:b/>
          <w:sz w:val="20"/>
          <w:szCs w:val="20"/>
        </w:rPr>
        <w:t xml:space="preserve">byla </w:t>
      </w:r>
      <w:r w:rsidR="00307FEB" w:rsidRPr="00BB51F4">
        <w:rPr>
          <w:rFonts w:ascii="Arial" w:hAnsi="Arial" w:cs="Arial"/>
          <w:b/>
          <w:sz w:val="20"/>
          <w:szCs w:val="20"/>
        </w:rPr>
        <w:t>o 30</w:t>
      </w:r>
      <w:r w:rsidR="000B187C">
        <w:rPr>
          <w:rFonts w:ascii="Arial" w:hAnsi="Arial" w:cs="Arial"/>
          <w:b/>
          <w:sz w:val="20"/>
          <w:szCs w:val="20"/>
        </w:rPr>
        <w:t xml:space="preserve"> </w:t>
      </w:r>
      <w:r w:rsidR="00307FEB" w:rsidRPr="00BB51F4">
        <w:rPr>
          <w:rFonts w:ascii="Arial" w:hAnsi="Arial" w:cs="Arial"/>
          <w:b/>
          <w:sz w:val="20"/>
          <w:szCs w:val="20"/>
        </w:rPr>
        <w:t xml:space="preserve">% </w:t>
      </w:r>
      <w:r w:rsidR="00CD46EA">
        <w:rPr>
          <w:rFonts w:ascii="Arial" w:hAnsi="Arial" w:cs="Arial"/>
          <w:b/>
          <w:sz w:val="20"/>
          <w:szCs w:val="20"/>
        </w:rPr>
        <w:t>níže</w:t>
      </w:r>
      <w:r w:rsidR="00A62CCA">
        <w:rPr>
          <w:rFonts w:ascii="Arial" w:hAnsi="Arial" w:cs="Arial"/>
          <w:b/>
          <w:sz w:val="20"/>
          <w:szCs w:val="20"/>
        </w:rPr>
        <w:t xml:space="preserve">. </w:t>
      </w:r>
    </w:p>
    <w:p w14:paraId="224998A5" w14:textId="5BC00950" w:rsidR="007253C3" w:rsidRDefault="007253C3" w:rsidP="00BB51F4">
      <w:pPr>
        <w:jc w:val="both"/>
        <w:rPr>
          <w:rFonts w:ascii="Arial" w:eastAsia="Times New Roman" w:hAnsi="Arial" w:cs="Arial"/>
          <w:b/>
          <w:sz w:val="20"/>
          <w:szCs w:val="20"/>
        </w:rPr>
      </w:pPr>
    </w:p>
    <w:p w14:paraId="71322F88" w14:textId="77777777" w:rsidR="00257978" w:rsidRPr="00BB51F4" w:rsidRDefault="00257978" w:rsidP="00BB51F4">
      <w:pPr>
        <w:jc w:val="both"/>
        <w:rPr>
          <w:rFonts w:ascii="Arial" w:hAnsi="Arial" w:cs="Arial"/>
          <w:b/>
          <w:sz w:val="20"/>
          <w:szCs w:val="20"/>
        </w:rPr>
      </w:pPr>
    </w:p>
    <w:p w14:paraId="3519F5C4" w14:textId="18DBB8F9" w:rsidR="007253C3" w:rsidRPr="00BB51F4" w:rsidRDefault="007253C3" w:rsidP="00BB51F4">
      <w:pPr>
        <w:jc w:val="both"/>
        <w:rPr>
          <w:rFonts w:ascii="Arial" w:eastAsia="Times New Roman" w:hAnsi="Arial" w:cs="Arial"/>
          <w:sz w:val="20"/>
          <w:szCs w:val="20"/>
        </w:rPr>
      </w:pPr>
      <w:r w:rsidRPr="00BB51F4">
        <w:rPr>
          <w:rFonts w:ascii="Arial" w:eastAsia="Times New Roman" w:hAnsi="Arial" w:cs="Arial"/>
          <w:sz w:val="20"/>
          <w:szCs w:val="20"/>
        </w:rPr>
        <w:t xml:space="preserve">Pro letošní rok odborníci očekávají minimálně dvojí zvyšování úrokových sazeb ze strany České národní banky. </w:t>
      </w:r>
      <w:r w:rsidRPr="00BB51F4">
        <w:rPr>
          <w:rFonts w:ascii="Arial" w:eastAsia="Times New Roman" w:hAnsi="Arial" w:cs="Arial"/>
          <w:i/>
          <w:sz w:val="20"/>
          <w:szCs w:val="20"/>
        </w:rPr>
        <w:t>„V tuto chvíli samozřejmě nelze říci, o kolik se základní sazby budou zvedat, nicméně v první vlně očekáváme zvýšení o 0,15 až o 0,25 procentních bodů. O prázdninách by se tak dosažitelná úroková sazba pro běžného klienta</w:t>
      </w:r>
      <w:r w:rsidR="00257978">
        <w:rPr>
          <w:rFonts w:ascii="Arial" w:eastAsia="Times New Roman" w:hAnsi="Arial" w:cs="Arial"/>
          <w:i/>
          <w:sz w:val="20"/>
          <w:szCs w:val="20"/>
        </w:rPr>
        <w:t xml:space="preserve"> mohla pohybovat v rozmezí 2,3 až</w:t>
      </w:r>
      <w:r w:rsidRPr="00BB51F4">
        <w:rPr>
          <w:rFonts w:ascii="Arial" w:eastAsia="Times New Roman" w:hAnsi="Arial" w:cs="Arial"/>
          <w:i/>
          <w:sz w:val="20"/>
          <w:szCs w:val="20"/>
        </w:rPr>
        <w:t xml:space="preserve"> 2,6 % v závislosti na doplňkových službách. Ve druhé vlně se pak sazby u hypoték </w:t>
      </w:r>
      <w:r w:rsidR="00FE4FBF" w:rsidRPr="00BB51F4">
        <w:rPr>
          <w:rFonts w:ascii="Arial" w:eastAsia="Times New Roman" w:hAnsi="Arial" w:cs="Arial"/>
          <w:i/>
          <w:sz w:val="20"/>
          <w:szCs w:val="20"/>
        </w:rPr>
        <w:t>s 5letou fixací m</w:t>
      </w:r>
      <w:r w:rsidRPr="00BB51F4">
        <w:rPr>
          <w:rFonts w:ascii="Arial" w:eastAsia="Times New Roman" w:hAnsi="Arial" w:cs="Arial"/>
          <w:i/>
          <w:sz w:val="20"/>
          <w:szCs w:val="20"/>
        </w:rPr>
        <w:t>ohou ke konci roku blížit hranici 3 %</w:t>
      </w:r>
      <w:r w:rsidR="00CD46EA">
        <w:rPr>
          <w:rFonts w:ascii="Arial" w:eastAsia="Times New Roman" w:hAnsi="Arial" w:cs="Arial"/>
          <w:i/>
          <w:sz w:val="20"/>
          <w:szCs w:val="20"/>
        </w:rPr>
        <w:t>,“</w:t>
      </w:r>
      <w:r w:rsidRPr="00BB51F4">
        <w:rPr>
          <w:rFonts w:ascii="Arial" w:eastAsia="Times New Roman" w:hAnsi="Arial" w:cs="Arial"/>
          <w:b/>
          <w:i/>
          <w:sz w:val="20"/>
          <w:szCs w:val="20"/>
        </w:rPr>
        <w:t xml:space="preserve"> </w:t>
      </w:r>
      <w:r w:rsidRPr="00BB51F4">
        <w:rPr>
          <w:rFonts w:ascii="Arial" w:eastAsia="Times New Roman" w:hAnsi="Arial" w:cs="Arial"/>
          <w:sz w:val="20"/>
          <w:szCs w:val="20"/>
        </w:rPr>
        <w:t>odhaduje vývoj</w:t>
      </w:r>
      <w:r w:rsidRPr="00BB51F4">
        <w:rPr>
          <w:rFonts w:ascii="Arial" w:eastAsia="Times New Roman" w:hAnsi="Arial" w:cs="Arial"/>
          <w:b/>
          <w:sz w:val="20"/>
          <w:szCs w:val="20"/>
        </w:rPr>
        <w:t xml:space="preserve"> Martin Novák, hlavní analytik Broker Consulting.</w:t>
      </w:r>
    </w:p>
    <w:p w14:paraId="0B518D17" w14:textId="229A5306" w:rsidR="00A62CCA" w:rsidRDefault="00A62CCA" w:rsidP="00BB51F4">
      <w:pPr>
        <w:jc w:val="both"/>
        <w:rPr>
          <w:rFonts w:ascii="Arial" w:hAnsi="Arial" w:cs="Arial"/>
          <w:sz w:val="20"/>
          <w:szCs w:val="20"/>
        </w:rPr>
      </w:pPr>
    </w:p>
    <w:p w14:paraId="12ACF029" w14:textId="486D426E" w:rsidR="00A62CCA" w:rsidRDefault="00A62CCA" w:rsidP="00A62CCA">
      <w:pPr>
        <w:jc w:val="both"/>
        <w:rPr>
          <w:rFonts w:ascii="Arial" w:hAnsi="Arial" w:cs="Arial"/>
          <w:sz w:val="20"/>
          <w:szCs w:val="20"/>
        </w:rPr>
      </w:pPr>
      <w:r>
        <w:rPr>
          <w:rFonts w:ascii="Arial" w:hAnsi="Arial" w:cs="Arial"/>
          <w:sz w:val="20"/>
          <w:szCs w:val="20"/>
        </w:rPr>
        <w:t xml:space="preserve">K první úpravě základních úrokových sazeb může dojít po červnovém zasedání bankovní rady ČNB. Toto zvýšení se záhy promítne i do sazeb u firemních a hypotečních úvěrů. Důvodem zvyšování základních sazeb je jednoznačně obava z dalšího růstu inflace, k níž přispívá zejména růst cen ropy na světových trzích a také problémy se sklizní u producentů ovoce a zeleniny, kteří se kvůli </w:t>
      </w:r>
      <w:proofErr w:type="spellStart"/>
      <w:r>
        <w:rPr>
          <w:rFonts w:ascii="Arial" w:hAnsi="Arial" w:cs="Arial"/>
          <w:sz w:val="20"/>
          <w:szCs w:val="20"/>
        </w:rPr>
        <w:t>proticovidovým</w:t>
      </w:r>
      <w:proofErr w:type="spellEnd"/>
      <w:r>
        <w:rPr>
          <w:rFonts w:ascii="Arial" w:hAnsi="Arial" w:cs="Arial"/>
          <w:sz w:val="20"/>
          <w:szCs w:val="20"/>
        </w:rPr>
        <w:t xml:space="preserve"> opatřením potýkají s nedostatkem pracovníků.</w:t>
      </w:r>
    </w:p>
    <w:p w14:paraId="01516B54" w14:textId="2F89088A" w:rsidR="00A62CCA" w:rsidRDefault="00A62CCA" w:rsidP="00BB51F4">
      <w:pPr>
        <w:jc w:val="both"/>
        <w:rPr>
          <w:rFonts w:ascii="Arial" w:eastAsia="Times New Roman" w:hAnsi="Arial" w:cs="Arial"/>
          <w:b/>
          <w:sz w:val="20"/>
          <w:szCs w:val="20"/>
        </w:rPr>
      </w:pPr>
    </w:p>
    <w:p w14:paraId="1D50887A" w14:textId="15DD0959" w:rsidR="00EC3779" w:rsidRPr="00A62CCA" w:rsidRDefault="00A62CCA" w:rsidP="00BB51F4">
      <w:pPr>
        <w:jc w:val="both"/>
        <w:rPr>
          <w:rFonts w:ascii="Arial" w:eastAsia="Times New Roman" w:hAnsi="Arial" w:cs="Arial"/>
          <w:b/>
          <w:bCs/>
          <w:sz w:val="20"/>
          <w:szCs w:val="20"/>
        </w:rPr>
      </w:pPr>
      <w:r>
        <w:rPr>
          <w:rFonts w:ascii="Arial" w:eastAsia="Times New Roman" w:hAnsi="Arial" w:cs="Arial"/>
          <w:sz w:val="20"/>
          <w:szCs w:val="20"/>
        </w:rPr>
        <w:t xml:space="preserve">Zvyšování úrokových sazeb ale není to jediné, co žadatelům o hypotéku přidělává vrásky na čele. Dramaticky zdražují také nemovitosti. Evropský statistický úřad </w:t>
      </w:r>
      <w:proofErr w:type="spellStart"/>
      <w:r>
        <w:rPr>
          <w:rFonts w:ascii="Arial" w:eastAsia="Times New Roman" w:hAnsi="Arial" w:cs="Arial"/>
          <w:sz w:val="20"/>
          <w:szCs w:val="20"/>
        </w:rPr>
        <w:t>Eurostat</w:t>
      </w:r>
      <w:proofErr w:type="spellEnd"/>
      <w:r>
        <w:rPr>
          <w:rFonts w:ascii="Arial" w:eastAsia="Times New Roman" w:hAnsi="Arial" w:cs="Arial"/>
          <w:sz w:val="20"/>
          <w:szCs w:val="20"/>
        </w:rPr>
        <w:t xml:space="preserve"> uvádí, že růst cen nemovitostí </w:t>
      </w:r>
      <w:r w:rsidR="00CD46EA">
        <w:rPr>
          <w:rFonts w:ascii="Arial" w:eastAsia="Times New Roman" w:hAnsi="Arial" w:cs="Arial"/>
          <w:sz w:val="20"/>
          <w:szCs w:val="20"/>
        </w:rPr>
        <w:t xml:space="preserve">byl koncem loňského roku </w:t>
      </w:r>
      <w:r>
        <w:rPr>
          <w:rFonts w:ascii="Arial" w:eastAsia="Times New Roman" w:hAnsi="Arial" w:cs="Arial"/>
          <w:sz w:val="20"/>
          <w:szCs w:val="20"/>
        </w:rPr>
        <w:t>v Česku čtvrtý nejvyšší v</w:t>
      </w:r>
      <w:r w:rsidR="00CD46EA">
        <w:rPr>
          <w:rFonts w:ascii="Arial" w:eastAsia="Times New Roman" w:hAnsi="Arial" w:cs="Arial"/>
          <w:sz w:val="20"/>
          <w:szCs w:val="20"/>
        </w:rPr>
        <w:t xml:space="preserve"> rámci</w:t>
      </w:r>
      <w:r>
        <w:rPr>
          <w:rFonts w:ascii="Arial" w:eastAsia="Times New Roman" w:hAnsi="Arial" w:cs="Arial"/>
          <w:sz w:val="20"/>
          <w:szCs w:val="20"/>
        </w:rPr>
        <w:t xml:space="preserve"> celé </w:t>
      </w:r>
      <w:r w:rsidR="00CD46EA">
        <w:rPr>
          <w:rFonts w:ascii="Arial" w:eastAsia="Times New Roman" w:hAnsi="Arial" w:cs="Arial"/>
          <w:sz w:val="20"/>
          <w:szCs w:val="20"/>
        </w:rPr>
        <w:t>Evropské unie</w:t>
      </w:r>
      <w:r>
        <w:rPr>
          <w:rFonts w:ascii="Arial" w:eastAsia="Times New Roman" w:hAnsi="Arial" w:cs="Arial"/>
          <w:sz w:val="20"/>
          <w:szCs w:val="20"/>
        </w:rPr>
        <w:t>. S rostoucími cenami domů a bytů roste i průměrná výše hypotečního úvěru. Podle údajů společnosti Broker Consulting činí průměrná cena hypotéky 2 925 582 korun. V roce 2019 to přitom byla částka 2 273 621 Kč – za dva roky se tak průměrná výše úvěru zvedla o 30 %.</w:t>
      </w:r>
      <w:r>
        <w:rPr>
          <w:rFonts w:ascii="Arial" w:eastAsia="Times New Roman" w:hAnsi="Arial" w:cs="Arial"/>
          <w:b/>
          <w:bCs/>
          <w:sz w:val="20"/>
          <w:szCs w:val="20"/>
        </w:rPr>
        <w:t xml:space="preserve"> </w:t>
      </w:r>
    </w:p>
    <w:p w14:paraId="71BCE2F9" w14:textId="6801672F" w:rsidR="00903020" w:rsidRDefault="00903020" w:rsidP="004B5104">
      <w:pPr>
        <w:jc w:val="both"/>
        <w:rPr>
          <w:rFonts w:ascii="Arial" w:eastAsia="Times New Roman" w:hAnsi="Arial" w:cs="Arial"/>
          <w:sz w:val="20"/>
          <w:szCs w:val="20"/>
        </w:rPr>
      </w:pPr>
    </w:p>
    <w:p w14:paraId="4EFD570D" w14:textId="0DFFD23F" w:rsidR="00A62CCA" w:rsidRDefault="00A62CCA" w:rsidP="00A62CCA">
      <w:pPr>
        <w:jc w:val="both"/>
        <w:rPr>
          <w:rFonts w:ascii="Arial" w:eastAsia="Times New Roman" w:hAnsi="Arial" w:cs="Arial"/>
          <w:b/>
          <w:bCs/>
          <w:sz w:val="20"/>
          <w:szCs w:val="20"/>
        </w:rPr>
      </w:pPr>
      <w:r>
        <w:rPr>
          <w:rFonts w:ascii="Arial" w:eastAsia="Times New Roman" w:hAnsi="Arial" w:cs="Arial"/>
          <w:i/>
          <w:iCs/>
          <w:sz w:val="20"/>
          <w:szCs w:val="20"/>
        </w:rPr>
        <w:t>„Za zdražováním nemovitostí v Česku lze vidět stále stejné fa</w:t>
      </w:r>
      <w:r w:rsidR="00CD46EA">
        <w:rPr>
          <w:rFonts w:ascii="Arial" w:eastAsia="Times New Roman" w:hAnsi="Arial" w:cs="Arial"/>
          <w:i/>
          <w:iCs/>
          <w:sz w:val="20"/>
          <w:szCs w:val="20"/>
        </w:rPr>
        <w:t>ktory. Jednak je to ne</w:t>
      </w:r>
      <w:r w:rsidR="00473219">
        <w:rPr>
          <w:rFonts w:ascii="Arial" w:eastAsia="Times New Roman" w:hAnsi="Arial" w:cs="Arial"/>
          <w:i/>
          <w:iCs/>
          <w:sz w:val="20"/>
          <w:szCs w:val="20"/>
        </w:rPr>
        <w:t>polevující vysoká</w:t>
      </w:r>
      <w:r w:rsidR="00CD46EA">
        <w:rPr>
          <w:rFonts w:ascii="Arial" w:eastAsia="Times New Roman" w:hAnsi="Arial" w:cs="Arial"/>
          <w:i/>
          <w:iCs/>
          <w:sz w:val="20"/>
          <w:szCs w:val="20"/>
        </w:rPr>
        <w:t xml:space="preserve"> </w:t>
      </w:r>
      <w:r>
        <w:rPr>
          <w:rFonts w:ascii="Arial" w:eastAsia="Times New Roman" w:hAnsi="Arial" w:cs="Arial"/>
          <w:i/>
          <w:iCs/>
          <w:sz w:val="20"/>
          <w:szCs w:val="20"/>
        </w:rPr>
        <w:t>poptávka</w:t>
      </w:r>
      <w:r>
        <w:rPr>
          <w:rFonts w:ascii="Arial" w:eastAsia="Times New Roman" w:hAnsi="Arial" w:cs="Arial"/>
          <w:b/>
          <w:bCs/>
          <w:i/>
          <w:iCs/>
          <w:sz w:val="20"/>
          <w:szCs w:val="20"/>
        </w:rPr>
        <w:t xml:space="preserve"> </w:t>
      </w:r>
      <w:r w:rsidR="00473219">
        <w:rPr>
          <w:rFonts w:ascii="Arial" w:eastAsia="Times New Roman" w:hAnsi="Arial" w:cs="Arial"/>
          <w:i/>
          <w:iCs/>
          <w:sz w:val="20"/>
          <w:szCs w:val="20"/>
        </w:rPr>
        <w:t>po nemovitostech k vlastnímu bydlení,</w:t>
      </w:r>
      <w:r>
        <w:rPr>
          <w:rFonts w:ascii="Arial" w:eastAsia="Times New Roman" w:hAnsi="Arial" w:cs="Arial"/>
          <w:i/>
          <w:iCs/>
          <w:sz w:val="20"/>
          <w:szCs w:val="20"/>
        </w:rPr>
        <w:t xml:space="preserve"> </w:t>
      </w:r>
      <w:r w:rsidR="00473219">
        <w:rPr>
          <w:rFonts w:ascii="Arial" w:eastAsia="Times New Roman" w:hAnsi="Arial" w:cs="Arial"/>
          <w:i/>
          <w:iCs/>
          <w:sz w:val="20"/>
          <w:szCs w:val="20"/>
        </w:rPr>
        <w:t>či</w:t>
      </w:r>
      <w:r>
        <w:rPr>
          <w:rFonts w:ascii="Arial" w:eastAsia="Times New Roman" w:hAnsi="Arial" w:cs="Arial"/>
          <w:i/>
          <w:iCs/>
          <w:sz w:val="20"/>
          <w:szCs w:val="20"/>
        </w:rPr>
        <w:t xml:space="preserve"> na investici, nedostatečná a zdlouhavá výstavba, ale také rostoucí ceny prací a stavebních materiálů. Na druhou stranu se domnívám, že pokud nedojde ke strmému nárůstu turistického ruchu, mohly by se ceny na trhu s nájemním bydlením stabilizovat. Vlastníci nemovitostí by tak mohli akceptovat třeba </w:t>
      </w:r>
      <w:r w:rsidRPr="00A62CCA">
        <w:rPr>
          <w:rFonts w:ascii="Arial" w:eastAsia="Times New Roman" w:hAnsi="Arial" w:cs="Arial"/>
          <w:i/>
          <w:iCs/>
          <w:sz w:val="20"/>
          <w:szCs w:val="20"/>
        </w:rPr>
        <w:t>i</w:t>
      </w:r>
      <w:r>
        <w:rPr>
          <w:rFonts w:ascii="Arial" w:eastAsia="Times New Roman" w:hAnsi="Arial" w:cs="Arial"/>
          <w:i/>
          <w:iCs/>
          <w:sz w:val="20"/>
          <w:szCs w:val="20"/>
        </w:rPr>
        <w:t xml:space="preserve"> nižší nájemné výměnou za dlouhodobé kvalitní nájemníky,“ </w:t>
      </w:r>
      <w:r>
        <w:rPr>
          <w:rFonts w:ascii="Arial" w:eastAsia="Times New Roman" w:hAnsi="Arial" w:cs="Arial"/>
          <w:sz w:val="20"/>
          <w:szCs w:val="20"/>
        </w:rPr>
        <w:t xml:space="preserve"> říká </w:t>
      </w:r>
      <w:r>
        <w:rPr>
          <w:rFonts w:ascii="Arial" w:eastAsia="Times New Roman" w:hAnsi="Arial" w:cs="Arial"/>
          <w:b/>
          <w:bCs/>
          <w:sz w:val="20"/>
          <w:szCs w:val="20"/>
        </w:rPr>
        <w:t>Michal Koubek, ředitel OK POINTu na pražském Žižkově</w:t>
      </w:r>
      <w:r>
        <w:rPr>
          <w:rFonts w:ascii="Arial" w:eastAsia="Times New Roman" w:hAnsi="Arial" w:cs="Arial"/>
          <w:sz w:val="20"/>
          <w:szCs w:val="20"/>
        </w:rPr>
        <w:t>.</w:t>
      </w:r>
    </w:p>
    <w:p w14:paraId="1F233D10" w14:textId="77777777" w:rsidR="00A62CCA" w:rsidRPr="00CB4952" w:rsidRDefault="00A62CCA" w:rsidP="004B5104">
      <w:pPr>
        <w:jc w:val="both"/>
        <w:rPr>
          <w:rFonts w:ascii="Arial" w:eastAsia="Times New Roman" w:hAnsi="Arial" w:cs="Arial"/>
          <w:sz w:val="20"/>
          <w:szCs w:val="20"/>
        </w:rPr>
      </w:pPr>
    </w:p>
    <w:p w14:paraId="4B8B73D2" w14:textId="7AD6F7F2" w:rsidR="00CC0CB0" w:rsidRDefault="00CC0CB0" w:rsidP="00903020">
      <w:pPr>
        <w:ind w:left="-142"/>
        <w:rPr>
          <w:rFonts w:ascii="Arial" w:eastAsia="Times New Roman" w:hAnsi="Arial" w:cs="Arial"/>
          <w:sz w:val="20"/>
          <w:szCs w:val="20"/>
        </w:rPr>
      </w:pPr>
    </w:p>
    <w:p w14:paraId="261B8995" w14:textId="004AD5D4" w:rsidR="00435115" w:rsidRPr="00CC0CB0" w:rsidRDefault="00830CE8" w:rsidP="00E130CB">
      <w:pPr>
        <w:spacing w:after="160" w:line="254" w:lineRule="auto"/>
        <w:jc w:val="both"/>
        <w:rPr>
          <w:rFonts w:ascii="Arial" w:hAnsi="Arial" w:cs="Arial"/>
          <w:color w:val="FF0000"/>
          <w:sz w:val="20"/>
          <w:szCs w:val="20"/>
        </w:rPr>
      </w:pPr>
      <w:r>
        <w:rPr>
          <w:rFonts w:ascii="Arial" w:hAnsi="Arial" w:cs="Arial"/>
          <w:color w:val="FF0000"/>
          <w:sz w:val="20"/>
          <w:szCs w:val="20"/>
        </w:rPr>
        <w:pict w14:anchorId="4B0D9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181.2pt">
            <v:imagedata r:id="rId25" o:title="BC Index hypotecnich uveru - kveten 2021"/>
          </v:shape>
        </w:pict>
      </w:r>
    </w:p>
    <w:p w14:paraId="19F564F0" w14:textId="77777777" w:rsidR="002B6F4E" w:rsidRDefault="002B6F4E" w:rsidP="00435115">
      <w:pPr>
        <w:rPr>
          <w:rFonts w:ascii="Arial" w:hAnsi="Arial" w:cs="Arial"/>
          <w:b/>
          <w:sz w:val="18"/>
          <w:szCs w:val="16"/>
        </w:rPr>
      </w:pPr>
    </w:p>
    <w:p w14:paraId="0EB712C0" w14:textId="61733419" w:rsidR="00977B41" w:rsidRPr="00435115" w:rsidRDefault="00B37F41" w:rsidP="00435115">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index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w:t>
      </w:r>
      <w:r w:rsidR="00830CE8">
        <w:rPr>
          <w:rFonts w:ascii="Arial" w:hAnsi="Arial" w:cs="Arial"/>
          <w:i/>
          <w:color w:val="1D1D1B"/>
          <w:w w:val="105"/>
          <w:sz w:val="18"/>
          <w:szCs w:val="16"/>
        </w:rPr>
        <w:t>e</w:t>
      </w:r>
      <w:bookmarkStart w:id="0" w:name="_GoBack"/>
      <w:bookmarkEnd w:id="0"/>
      <w:r w:rsidRPr="00B244B9">
        <w:rPr>
          <w:rFonts w:ascii="Arial" w:hAnsi="Arial" w:cs="Arial"/>
          <w:i/>
          <w:color w:val="1D1D1B"/>
          <w:w w:val="105"/>
          <w:sz w:val="18"/>
          <w:szCs w:val="16"/>
        </w:rPr>
        <w:t>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4537B8D6" w14:textId="77777777" w:rsidR="00977B41" w:rsidRDefault="00977B41" w:rsidP="0073009C">
      <w:pPr>
        <w:jc w:val="both"/>
        <w:rPr>
          <w:rFonts w:ascii="Arial" w:hAnsi="Arial" w:cs="Arial"/>
          <w:b/>
          <w:sz w:val="18"/>
          <w:szCs w:val="20"/>
        </w:rPr>
      </w:pPr>
    </w:p>
    <w:p w14:paraId="01530127" w14:textId="77777777" w:rsidR="00D73F33" w:rsidRDefault="00D73F33" w:rsidP="0073009C">
      <w:pPr>
        <w:jc w:val="both"/>
        <w:rPr>
          <w:rFonts w:ascii="Arial" w:hAnsi="Arial" w:cs="Arial"/>
          <w:b/>
          <w:sz w:val="18"/>
          <w:szCs w:val="20"/>
        </w:rPr>
      </w:pPr>
    </w:p>
    <w:p w14:paraId="7DF3747A" w14:textId="21E317EA" w:rsidR="00B37F41" w:rsidRPr="00C222E1"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830CE8">
        <w:rPr>
          <w:rFonts w:ascii="Arial" w:hAnsi="Arial" w:cs="Arial"/>
          <w:sz w:val="18"/>
          <w:szCs w:val="20"/>
        </w:rPr>
        <w:t>růměrnou úrokovou sazbu u hypote</w:t>
      </w:r>
      <w:r w:rsidRPr="00C222E1">
        <w:rPr>
          <w:rFonts w:ascii="Arial" w:hAnsi="Arial" w:cs="Arial"/>
          <w:sz w:val="18"/>
          <w:szCs w:val="20"/>
        </w:rPr>
        <w:t>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r w:rsidR="00830CE8">
        <w:rPr>
          <w:rFonts w:ascii="Arial" w:hAnsi="Arial" w:cs="Arial"/>
          <w:sz w:val="18"/>
          <w:szCs w:val="20"/>
        </w:rPr>
        <w:t xml:space="preserve"> </w:t>
      </w: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w:t>
      </w:r>
      <w:r w:rsidRPr="00C222E1">
        <w:rPr>
          <w:rFonts w:ascii="Arial" w:hAnsi="Arial" w:cs="Arial"/>
          <w:sz w:val="18"/>
          <w:szCs w:val="20"/>
        </w:rPr>
        <w:lastRenderedPageBreak/>
        <w:t xml:space="preserve">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3047FCF7" w14:textId="30DEE248" w:rsidR="00833A44" w:rsidRDefault="00833A44" w:rsidP="00B27178">
      <w:pPr>
        <w:jc w:val="both"/>
      </w:pPr>
    </w:p>
    <w:p w14:paraId="719BA63E" w14:textId="7B457A4D" w:rsidR="00B37F41" w:rsidRDefault="00B37F41" w:rsidP="00B27178">
      <w:pPr>
        <w:jc w:val="both"/>
      </w:pPr>
    </w:p>
    <w:p w14:paraId="3371DDD3" w14:textId="77777777" w:rsidR="00B37F41" w:rsidRPr="0025264B" w:rsidRDefault="00B37F41" w:rsidP="00B27178">
      <w:pPr>
        <w:jc w:val="both"/>
      </w:pPr>
    </w:p>
    <w:p w14:paraId="02CFC06C" w14:textId="77777777" w:rsidR="00903020" w:rsidRDefault="00903020" w:rsidP="00903020">
      <w:pPr>
        <w:jc w:val="both"/>
        <w:rPr>
          <w:rFonts w:ascii="Arial" w:hAnsi="Arial" w:cs="Arial"/>
          <w:noProof/>
          <w:color w:val="FF0000"/>
          <w:sz w:val="20"/>
          <w:szCs w:val="20"/>
          <w:lang w:bidi="ar-SA"/>
        </w:rPr>
      </w:pPr>
    </w:p>
    <w:p w14:paraId="30A655D4" w14:textId="111CB6A5" w:rsidR="00D60D98" w:rsidRPr="00903020" w:rsidRDefault="00D60D98" w:rsidP="00B27178">
      <w:pPr>
        <w:jc w:val="both"/>
        <w:rPr>
          <w:rFonts w:ascii="Arial" w:eastAsia="Calibri" w:hAnsi="Arial" w:cs="Arial"/>
          <w:bCs/>
          <w:noProof/>
          <w:sz w:val="20"/>
          <w:szCs w:val="20"/>
        </w:rPr>
      </w:pPr>
    </w:p>
    <w:p w14:paraId="159799F5" w14:textId="73FA0073" w:rsidR="00692610" w:rsidRDefault="00692610" w:rsidP="00B27178">
      <w:pPr>
        <w:jc w:val="both"/>
        <w:rPr>
          <w:rFonts w:ascii="Arial" w:eastAsia="Calibri" w:hAnsi="Arial" w:cs="Arial"/>
          <w:b/>
          <w:bCs/>
          <w:noProof/>
          <w:sz w:val="20"/>
          <w:szCs w:val="20"/>
        </w:rPr>
      </w:pPr>
    </w:p>
    <w:p w14:paraId="58F041AC" w14:textId="77777777" w:rsidR="00692610" w:rsidRPr="00D60D98" w:rsidRDefault="00692610"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211A7" w14:textId="77777777" w:rsidR="00096425" w:rsidRDefault="00096425">
      <w:r>
        <w:separator/>
      </w:r>
    </w:p>
  </w:endnote>
  <w:endnote w:type="continuationSeparator" w:id="0">
    <w:p w14:paraId="347B43FA" w14:textId="77777777" w:rsidR="00096425" w:rsidRDefault="00096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096425"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2E0400"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096425"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2E0400"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096425"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2E0400"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7181B" w14:textId="77777777" w:rsidR="00096425" w:rsidRDefault="00096425">
      <w:r>
        <w:separator/>
      </w:r>
    </w:p>
  </w:footnote>
  <w:footnote w:type="continuationSeparator" w:id="0">
    <w:p w14:paraId="12878408" w14:textId="77777777" w:rsidR="00096425" w:rsidRDefault="00096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13C6914A" w:rsidR="00B65A3B" w:rsidRDefault="009F2CEE" w:rsidP="009F2CEE">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PODÍLOVÝCH FONDŮ</w:t>
    </w:r>
  </w:p>
  <w:p w14:paraId="43C085E5" w14:textId="77777777" w:rsidR="000F4B6C" w:rsidRPr="00B65A3B" w:rsidRDefault="000F4B6C" w:rsidP="009F2CEE">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00A33F2F"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5D86"/>
    <w:rsid w:val="0005423A"/>
    <w:rsid w:val="000611E3"/>
    <w:rsid w:val="000766E7"/>
    <w:rsid w:val="00081616"/>
    <w:rsid w:val="000851AC"/>
    <w:rsid w:val="000853D4"/>
    <w:rsid w:val="00096425"/>
    <w:rsid w:val="0009776B"/>
    <w:rsid w:val="000B187C"/>
    <w:rsid w:val="000D14E2"/>
    <w:rsid w:val="000D7158"/>
    <w:rsid w:val="000E01C2"/>
    <w:rsid w:val="000E3D86"/>
    <w:rsid w:val="000F4B6C"/>
    <w:rsid w:val="000F6249"/>
    <w:rsid w:val="001117DE"/>
    <w:rsid w:val="00111C28"/>
    <w:rsid w:val="0013044E"/>
    <w:rsid w:val="00131A69"/>
    <w:rsid w:val="00136D8D"/>
    <w:rsid w:val="00137003"/>
    <w:rsid w:val="0013717C"/>
    <w:rsid w:val="00140987"/>
    <w:rsid w:val="00156082"/>
    <w:rsid w:val="00160686"/>
    <w:rsid w:val="001675AF"/>
    <w:rsid w:val="001767A5"/>
    <w:rsid w:val="00192716"/>
    <w:rsid w:val="001A1A56"/>
    <w:rsid w:val="001A2D08"/>
    <w:rsid w:val="001A54DD"/>
    <w:rsid w:val="001B501B"/>
    <w:rsid w:val="001D015A"/>
    <w:rsid w:val="001D3DFC"/>
    <w:rsid w:val="001D5EFC"/>
    <w:rsid w:val="001E4209"/>
    <w:rsid w:val="001F7194"/>
    <w:rsid w:val="001F71BA"/>
    <w:rsid w:val="0020207A"/>
    <w:rsid w:val="002141AF"/>
    <w:rsid w:val="00220529"/>
    <w:rsid w:val="00224AF1"/>
    <w:rsid w:val="00224E6E"/>
    <w:rsid w:val="002368F3"/>
    <w:rsid w:val="00241313"/>
    <w:rsid w:val="0024212A"/>
    <w:rsid w:val="0025080B"/>
    <w:rsid w:val="0025264B"/>
    <w:rsid w:val="0025428A"/>
    <w:rsid w:val="00257978"/>
    <w:rsid w:val="002619DC"/>
    <w:rsid w:val="00270DB3"/>
    <w:rsid w:val="00280730"/>
    <w:rsid w:val="00281C61"/>
    <w:rsid w:val="00285767"/>
    <w:rsid w:val="002863CE"/>
    <w:rsid w:val="002A1185"/>
    <w:rsid w:val="002B2A94"/>
    <w:rsid w:val="002B6F4E"/>
    <w:rsid w:val="002C0E94"/>
    <w:rsid w:val="002D3534"/>
    <w:rsid w:val="002D49F7"/>
    <w:rsid w:val="002D64A2"/>
    <w:rsid w:val="002E0400"/>
    <w:rsid w:val="002F002B"/>
    <w:rsid w:val="002F485A"/>
    <w:rsid w:val="002F7EC2"/>
    <w:rsid w:val="003015E0"/>
    <w:rsid w:val="00307E95"/>
    <w:rsid w:val="00307FEB"/>
    <w:rsid w:val="003128F8"/>
    <w:rsid w:val="00322E5E"/>
    <w:rsid w:val="003247B0"/>
    <w:rsid w:val="00330918"/>
    <w:rsid w:val="003337A9"/>
    <w:rsid w:val="00342F85"/>
    <w:rsid w:val="00347557"/>
    <w:rsid w:val="00355366"/>
    <w:rsid w:val="003629B6"/>
    <w:rsid w:val="003721AD"/>
    <w:rsid w:val="00380608"/>
    <w:rsid w:val="00383DC5"/>
    <w:rsid w:val="00385EED"/>
    <w:rsid w:val="00390B58"/>
    <w:rsid w:val="003A4D47"/>
    <w:rsid w:val="003A6435"/>
    <w:rsid w:val="003B0E4F"/>
    <w:rsid w:val="003B1966"/>
    <w:rsid w:val="003C0CBE"/>
    <w:rsid w:val="003C3421"/>
    <w:rsid w:val="003D1987"/>
    <w:rsid w:val="003D3AE8"/>
    <w:rsid w:val="003D69A7"/>
    <w:rsid w:val="003F79EC"/>
    <w:rsid w:val="0042193A"/>
    <w:rsid w:val="00434C5D"/>
    <w:rsid w:val="00435115"/>
    <w:rsid w:val="00445D0A"/>
    <w:rsid w:val="004540ED"/>
    <w:rsid w:val="00454843"/>
    <w:rsid w:val="004627B9"/>
    <w:rsid w:val="00473219"/>
    <w:rsid w:val="00481D66"/>
    <w:rsid w:val="00487B6B"/>
    <w:rsid w:val="004B5104"/>
    <w:rsid w:val="004B5797"/>
    <w:rsid w:val="004B64B3"/>
    <w:rsid w:val="004C3F71"/>
    <w:rsid w:val="004D4D9F"/>
    <w:rsid w:val="0050659B"/>
    <w:rsid w:val="005153F7"/>
    <w:rsid w:val="005224C1"/>
    <w:rsid w:val="005275F9"/>
    <w:rsid w:val="0053153F"/>
    <w:rsid w:val="00536954"/>
    <w:rsid w:val="00540606"/>
    <w:rsid w:val="00541870"/>
    <w:rsid w:val="005436EC"/>
    <w:rsid w:val="00544A37"/>
    <w:rsid w:val="005455B0"/>
    <w:rsid w:val="0055263D"/>
    <w:rsid w:val="0056150F"/>
    <w:rsid w:val="005729F4"/>
    <w:rsid w:val="00577D19"/>
    <w:rsid w:val="005834AE"/>
    <w:rsid w:val="005875EC"/>
    <w:rsid w:val="005A37E5"/>
    <w:rsid w:val="005A4497"/>
    <w:rsid w:val="005A5BBA"/>
    <w:rsid w:val="005A5F08"/>
    <w:rsid w:val="005B0E8E"/>
    <w:rsid w:val="005B31D7"/>
    <w:rsid w:val="00612DC2"/>
    <w:rsid w:val="006135FD"/>
    <w:rsid w:val="0062747C"/>
    <w:rsid w:val="0064160C"/>
    <w:rsid w:val="00656312"/>
    <w:rsid w:val="0066135D"/>
    <w:rsid w:val="00663C36"/>
    <w:rsid w:val="00667012"/>
    <w:rsid w:val="006768F0"/>
    <w:rsid w:val="00677078"/>
    <w:rsid w:val="00677C07"/>
    <w:rsid w:val="0068617E"/>
    <w:rsid w:val="00692610"/>
    <w:rsid w:val="006939E4"/>
    <w:rsid w:val="00693A07"/>
    <w:rsid w:val="00697A40"/>
    <w:rsid w:val="006A0BD0"/>
    <w:rsid w:val="006A150C"/>
    <w:rsid w:val="006A2F6C"/>
    <w:rsid w:val="006A3BE2"/>
    <w:rsid w:val="006C61E8"/>
    <w:rsid w:val="006D65EC"/>
    <w:rsid w:val="006E26DC"/>
    <w:rsid w:val="006E52B8"/>
    <w:rsid w:val="006F32FB"/>
    <w:rsid w:val="00705D83"/>
    <w:rsid w:val="0072112F"/>
    <w:rsid w:val="007253C3"/>
    <w:rsid w:val="00730047"/>
    <w:rsid w:val="0073009C"/>
    <w:rsid w:val="00736FB9"/>
    <w:rsid w:val="00771B91"/>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2280"/>
    <w:rsid w:val="007E5614"/>
    <w:rsid w:val="007F515C"/>
    <w:rsid w:val="008104E0"/>
    <w:rsid w:val="0081387C"/>
    <w:rsid w:val="0083053E"/>
    <w:rsid w:val="00830CE8"/>
    <w:rsid w:val="00831B5E"/>
    <w:rsid w:val="0083338E"/>
    <w:rsid w:val="00833A44"/>
    <w:rsid w:val="00845A34"/>
    <w:rsid w:val="008769D5"/>
    <w:rsid w:val="00883A3E"/>
    <w:rsid w:val="00885B2F"/>
    <w:rsid w:val="008868A5"/>
    <w:rsid w:val="008926E5"/>
    <w:rsid w:val="008926F3"/>
    <w:rsid w:val="008A04D3"/>
    <w:rsid w:val="008A0C76"/>
    <w:rsid w:val="008C1795"/>
    <w:rsid w:val="008C4B0D"/>
    <w:rsid w:val="008D1E94"/>
    <w:rsid w:val="008E19F3"/>
    <w:rsid w:val="008F4980"/>
    <w:rsid w:val="008F6AAF"/>
    <w:rsid w:val="00903020"/>
    <w:rsid w:val="00906176"/>
    <w:rsid w:val="00906E67"/>
    <w:rsid w:val="00915ADA"/>
    <w:rsid w:val="009222C9"/>
    <w:rsid w:val="00932625"/>
    <w:rsid w:val="009344C2"/>
    <w:rsid w:val="0093538A"/>
    <w:rsid w:val="0094705C"/>
    <w:rsid w:val="00957B41"/>
    <w:rsid w:val="009644A2"/>
    <w:rsid w:val="00967162"/>
    <w:rsid w:val="00974A97"/>
    <w:rsid w:val="00977B41"/>
    <w:rsid w:val="00982987"/>
    <w:rsid w:val="009A69B1"/>
    <w:rsid w:val="009C0ECA"/>
    <w:rsid w:val="009C45BA"/>
    <w:rsid w:val="009E317D"/>
    <w:rsid w:val="009E3B52"/>
    <w:rsid w:val="009E3D89"/>
    <w:rsid w:val="009F2CB2"/>
    <w:rsid w:val="009F2CEE"/>
    <w:rsid w:val="009F59EE"/>
    <w:rsid w:val="00A069E2"/>
    <w:rsid w:val="00A11C90"/>
    <w:rsid w:val="00A25B10"/>
    <w:rsid w:val="00A36D79"/>
    <w:rsid w:val="00A4618A"/>
    <w:rsid w:val="00A62CCA"/>
    <w:rsid w:val="00A719A5"/>
    <w:rsid w:val="00A7372B"/>
    <w:rsid w:val="00A7509B"/>
    <w:rsid w:val="00A7796E"/>
    <w:rsid w:val="00A77F44"/>
    <w:rsid w:val="00A93638"/>
    <w:rsid w:val="00AA218A"/>
    <w:rsid w:val="00AC614D"/>
    <w:rsid w:val="00B11974"/>
    <w:rsid w:val="00B12CF8"/>
    <w:rsid w:val="00B15519"/>
    <w:rsid w:val="00B244B9"/>
    <w:rsid w:val="00B27178"/>
    <w:rsid w:val="00B3265A"/>
    <w:rsid w:val="00B36901"/>
    <w:rsid w:val="00B37F41"/>
    <w:rsid w:val="00B43ABC"/>
    <w:rsid w:val="00B470FB"/>
    <w:rsid w:val="00B51125"/>
    <w:rsid w:val="00B52CDF"/>
    <w:rsid w:val="00B65A3B"/>
    <w:rsid w:val="00B72652"/>
    <w:rsid w:val="00B95BB2"/>
    <w:rsid w:val="00B95EBA"/>
    <w:rsid w:val="00BA1D82"/>
    <w:rsid w:val="00BA1FA3"/>
    <w:rsid w:val="00BA23D8"/>
    <w:rsid w:val="00BB4D49"/>
    <w:rsid w:val="00BB51F4"/>
    <w:rsid w:val="00BB58F0"/>
    <w:rsid w:val="00BB6439"/>
    <w:rsid w:val="00BB675F"/>
    <w:rsid w:val="00BD17B0"/>
    <w:rsid w:val="00BD3715"/>
    <w:rsid w:val="00BD5A47"/>
    <w:rsid w:val="00BF4092"/>
    <w:rsid w:val="00C05CCC"/>
    <w:rsid w:val="00C23E32"/>
    <w:rsid w:val="00C31E67"/>
    <w:rsid w:val="00C33A4A"/>
    <w:rsid w:val="00C42FAF"/>
    <w:rsid w:val="00C864DC"/>
    <w:rsid w:val="00C908E5"/>
    <w:rsid w:val="00C9156E"/>
    <w:rsid w:val="00CA1722"/>
    <w:rsid w:val="00CA7CAF"/>
    <w:rsid w:val="00CB06F8"/>
    <w:rsid w:val="00CB18B1"/>
    <w:rsid w:val="00CB38CA"/>
    <w:rsid w:val="00CB6F2B"/>
    <w:rsid w:val="00CB7254"/>
    <w:rsid w:val="00CC0CB0"/>
    <w:rsid w:val="00CC1067"/>
    <w:rsid w:val="00CD3324"/>
    <w:rsid w:val="00CD46EA"/>
    <w:rsid w:val="00CE6C6E"/>
    <w:rsid w:val="00D01832"/>
    <w:rsid w:val="00D07AA2"/>
    <w:rsid w:val="00D21C96"/>
    <w:rsid w:val="00D30854"/>
    <w:rsid w:val="00D31127"/>
    <w:rsid w:val="00D3359F"/>
    <w:rsid w:val="00D47B55"/>
    <w:rsid w:val="00D50703"/>
    <w:rsid w:val="00D60D98"/>
    <w:rsid w:val="00D721F1"/>
    <w:rsid w:val="00D73F33"/>
    <w:rsid w:val="00D80B6D"/>
    <w:rsid w:val="00D80F78"/>
    <w:rsid w:val="00D84488"/>
    <w:rsid w:val="00D844C8"/>
    <w:rsid w:val="00D8513A"/>
    <w:rsid w:val="00D85BBB"/>
    <w:rsid w:val="00D943AD"/>
    <w:rsid w:val="00D9690A"/>
    <w:rsid w:val="00DA7B87"/>
    <w:rsid w:val="00DB0343"/>
    <w:rsid w:val="00DB63D9"/>
    <w:rsid w:val="00DB7121"/>
    <w:rsid w:val="00DB7E77"/>
    <w:rsid w:val="00DC0BD6"/>
    <w:rsid w:val="00DC0F17"/>
    <w:rsid w:val="00DC30D0"/>
    <w:rsid w:val="00DD7940"/>
    <w:rsid w:val="00DE59C6"/>
    <w:rsid w:val="00E00DC6"/>
    <w:rsid w:val="00E058A3"/>
    <w:rsid w:val="00E130CB"/>
    <w:rsid w:val="00E151F3"/>
    <w:rsid w:val="00E17539"/>
    <w:rsid w:val="00E27028"/>
    <w:rsid w:val="00E52CEE"/>
    <w:rsid w:val="00E563FC"/>
    <w:rsid w:val="00E57F9B"/>
    <w:rsid w:val="00E60634"/>
    <w:rsid w:val="00E6319B"/>
    <w:rsid w:val="00E6726D"/>
    <w:rsid w:val="00E81433"/>
    <w:rsid w:val="00E81C95"/>
    <w:rsid w:val="00E845C0"/>
    <w:rsid w:val="00E852A3"/>
    <w:rsid w:val="00EA0C1C"/>
    <w:rsid w:val="00EA477A"/>
    <w:rsid w:val="00EA5D92"/>
    <w:rsid w:val="00EC3779"/>
    <w:rsid w:val="00EC7F0E"/>
    <w:rsid w:val="00ED2D1F"/>
    <w:rsid w:val="00ED58E9"/>
    <w:rsid w:val="00ED79D6"/>
    <w:rsid w:val="00EE1831"/>
    <w:rsid w:val="00EF2F7C"/>
    <w:rsid w:val="00F14982"/>
    <w:rsid w:val="00F2598D"/>
    <w:rsid w:val="00F336A2"/>
    <w:rsid w:val="00F44AEB"/>
    <w:rsid w:val="00F45620"/>
    <w:rsid w:val="00F5304D"/>
    <w:rsid w:val="00F532E2"/>
    <w:rsid w:val="00F5470D"/>
    <w:rsid w:val="00F72E32"/>
    <w:rsid w:val="00F829B7"/>
    <w:rsid w:val="00F84A4F"/>
    <w:rsid w:val="00F9173C"/>
    <w:rsid w:val="00FB18D0"/>
    <w:rsid w:val="00FB2315"/>
    <w:rsid w:val="00FB2ED6"/>
    <w:rsid w:val="00FC2522"/>
    <w:rsid w:val="00FC5B56"/>
    <w:rsid w:val="00FD4B12"/>
    <w:rsid w:val="00FD5009"/>
    <w:rsid w:val="00FE1EC8"/>
    <w:rsid w:val="00FE4FBF"/>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47FAB-AA49-4AF9-ADC8-99FCBCEB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Pages>
  <Words>841</Words>
  <Characters>4965</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20</cp:revision>
  <dcterms:created xsi:type="dcterms:W3CDTF">2021-05-12T12:49:00Z</dcterms:created>
  <dcterms:modified xsi:type="dcterms:W3CDTF">2021-06-16T10:09:00Z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