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bookmarkStart w:id="0" w:name="_GoBack" w:displacedByCustomXml="prev"/>
        <w:bookmarkEnd w:id="0" w:displacedByCustomXml="prev"/>
        <w:p w14:paraId="718E6546" w14:textId="1251B28C" w:rsidR="00D80B6D" w:rsidRPr="00FC2522" w:rsidRDefault="00D80B6D">
          <w:pPr>
            <w:rPr>
              <w:highlight w:val="yellow"/>
            </w:rPr>
          </w:pPr>
        </w:p>
        <w:p w14:paraId="7ED014A1" w14:textId="77777777" w:rsidR="00D80B6D" w:rsidRPr="00FC2522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  <w:highlight w:val="yellow"/>
            </w:rPr>
          </w:pPr>
        </w:p>
        <w:p w14:paraId="0FB45B67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HYPOTEČNÍCH ÚVĚRŮ </w:t>
          </w:r>
          <w:r w:rsidRPr="004B5797">
            <w:rPr>
              <w:rFonts w:ascii="Arial" w:hAnsi="Arial" w:cs="Arial"/>
              <w:color w:val="CD1719"/>
              <w:sz w:val="24"/>
            </w:rPr>
            <w:t xml:space="preserve">| 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FIXINDEX </w:t>
          </w:r>
        </w:p>
        <w:p w14:paraId="15233C16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b/>
              <w:color w:val="1D1D1B"/>
              <w:sz w:val="24"/>
            </w:rPr>
            <w:t>INDEX PODÍLOVÝCH FONDŮ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</w:t>
          </w:r>
          <w:r w:rsidRPr="004B5797">
            <w:rPr>
              <w:rFonts w:ascii="Arial" w:hAnsi="Arial" w:cs="Arial"/>
              <w:color w:val="CD1719"/>
              <w:sz w:val="24"/>
            </w:rPr>
            <w:t>|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INDEX TYPICKÉHO INVESTORA </w:t>
          </w:r>
        </w:p>
        <w:p w14:paraId="03C4DE47" w14:textId="77777777" w:rsidR="0009776B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VOLNÝCH PENĚZ DOMÁCNOSTÍ </w:t>
          </w:r>
        </w:p>
        <w:p w14:paraId="32900BCE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POV INDEX </w:t>
          </w:r>
        </w:p>
        <w:p w14:paraId="5B21B8A6" w14:textId="77777777" w:rsidR="00D80B6D" w:rsidRPr="009F2CEE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9F2CEE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37B597D7" w14:textId="77777777" w:rsidR="00032D94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FINANČNÍ GRAMOTNOSTI </w:t>
          </w:r>
        </w:p>
        <w:p w14:paraId="4C8EDD49" w14:textId="77777777" w:rsidR="00D80B6D" w:rsidRPr="004B5797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>INDEX OČEKÁVANÝCH CEN PŘI PRODEJI NEMOVITOSTI</w:t>
          </w:r>
        </w:p>
        <w:p w14:paraId="1FCC0C9E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20CCDBB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  <w:r w:rsidRPr="00FC2522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  <w:highlight w:val="yellow"/>
            </w:rPr>
          </w:pPr>
        </w:p>
        <w:p w14:paraId="5193A52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FC2522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FC2522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FC2522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3891EFEA" w:rsidR="00792EE9" w:rsidRPr="00FC2522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FC2522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>
            <w:rPr>
              <w:rFonts w:ascii="Arial" w:hAnsi="Arial" w:cs="Arial"/>
              <w:sz w:val="18"/>
            </w:rPr>
            <w:t>40</w:t>
          </w:r>
          <w:r w:rsidRPr="00FC2522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</w:t>
          </w:r>
          <w:proofErr w:type="spellStart"/>
          <w:r w:rsidRPr="00FC2522">
            <w:rPr>
              <w:rFonts w:ascii="Arial" w:hAnsi="Arial" w:cs="Arial"/>
              <w:sz w:val="18"/>
            </w:rPr>
            <w:t>mBank</w:t>
          </w:r>
          <w:proofErr w:type="spellEnd"/>
          <w:r w:rsidRPr="00FC2522">
            <w:rPr>
              <w:rFonts w:ascii="Arial" w:hAnsi="Arial" w:cs="Arial"/>
              <w:sz w:val="18"/>
            </w:rPr>
            <w:t xml:space="preserve"> a MONETA Money Bank.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bcas.cz</w:t>
            </w:r>
          </w:hyperlink>
          <w:r w:rsidRPr="007B232E">
            <w:rPr>
              <w:rStyle w:val="Hypertextovodkaz"/>
              <w:rFonts w:ascii="Arial" w:hAnsi="Arial" w:cs="Arial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okpointy.cz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okpoint.tv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realityspolu.cz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.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FC2522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4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LinkedIN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6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</w:t>
            </w:r>
          </w:hyperlink>
          <w:r w:rsidRPr="007B232E">
            <w:rPr>
              <w:rStyle w:val="Hypertextovodkaz"/>
              <w:rFonts w:ascii="Arial" w:hAnsi="Arial" w:cs="Arial"/>
              <w:color w:val="0066FF"/>
              <w:sz w:val="18"/>
              <w:szCs w:val="18"/>
            </w:rPr>
            <w:t>N</w:t>
          </w:r>
          <w:r w:rsidRPr="007B232E">
            <w:rPr>
              <w:rStyle w:val="dn"/>
              <w:rFonts w:ascii="Arial" w:hAnsi="Arial" w:cs="Arial"/>
              <w:color w:val="0066FF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OK POINTů. </w:t>
          </w:r>
        </w:p>
        <w:p w14:paraId="3F0EC976" w14:textId="3496D289" w:rsidR="00D80B6D" w:rsidRPr="00FC2522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FC2522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1251B28C" w:rsidR="00D31127" w:rsidRPr="00FC2522" w:rsidRDefault="00592229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FC2522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28A29B0" w14:textId="1A51ECCF" w:rsidR="00982987" w:rsidRPr="00122CD1" w:rsidRDefault="00ED2D1F" w:rsidP="001675AF">
      <w:pPr>
        <w:jc w:val="center"/>
        <w:rPr>
          <w:rFonts w:ascii="Arial" w:hAnsi="Arial" w:cs="Arial"/>
          <w:b/>
          <w:sz w:val="28"/>
          <w:szCs w:val="28"/>
        </w:rPr>
      </w:pPr>
      <w:r w:rsidRPr="00122CD1">
        <w:rPr>
          <w:rFonts w:ascii="Arial" w:hAnsi="Arial" w:cs="Arial"/>
          <w:b/>
          <w:sz w:val="28"/>
          <w:szCs w:val="28"/>
        </w:rPr>
        <w:lastRenderedPageBreak/>
        <w:t xml:space="preserve">Broker Consulting Index </w:t>
      </w:r>
      <w:r w:rsidR="00982987" w:rsidRPr="00122CD1">
        <w:rPr>
          <w:rFonts w:ascii="Arial" w:hAnsi="Arial" w:cs="Arial"/>
          <w:b/>
          <w:sz w:val="28"/>
          <w:szCs w:val="28"/>
        </w:rPr>
        <w:t xml:space="preserve">podílových fondů: </w:t>
      </w:r>
    </w:p>
    <w:p w14:paraId="11F162CA" w14:textId="40DE5C05" w:rsidR="00C23E32" w:rsidRPr="00122CD1" w:rsidRDefault="00F1156B" w:rsidP="001675A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Jednoznačným vítězem </w:t>
      </w:r>
      <w:r w:rsidR="008005EB">
        <w:rPr>
          <w:rFonts w:ascii="Arial" w:hAnsi="Arial" w:cs="Arial"/>
          <w:b/>
          <w:sz w:val="28"/>
          <w:szCs w:val="28"/>
        </w:rPr>
        <w:t xml:space="preserve">března </w:t>
      </w:r>
      <w:r>
        <w:rPr>
          <w:rFonts w:ascii="Arial" w:hAnsi="Arial" w:cs="Arial"/>
          <w:b/>
          <w:sz w:val="28"/>
          <w:szCs w:val="28"/>
        </w:rPr>
        <w:t>byly</w:t>
      </w:r>
      <w:r w:rsidR="008005EB">
        <w:rPr>
          <w:rFonts w:ascii="Arial" w:hAnsi="Arial" w:cs="Arial"/>
          <w:b/>
          <w:sz w:val="28"/>
          <w:szCs w:val="28"/>
        </w:rPr>
        <w:t xml:space="preserve"> akciové fond</w:t>
      </w:r>
      <w:r w:rsidR="0017084B">
        <w:rPr>
          <w:rFonts w:ascii="Arial" w:hAnsi="Arial" w:cs="Arial"/>
          <w:b/>
          <w:sz w:val="28"/>
          <w:szCs w:val="28"/>
        </w:rPr>
        <w:t>y, všechny ostatní si připsaly záporné body</w:t>
      </w:r>
    </w:p>
    <w:p w14:paraId="7467897D" w14:textId="4CCE2F85" w:rsidR="00C23E32" w:rsidRPr="00631E80" w:rsidRDefault="00C23E32" w:rsidP="00B27178">
      <w:pPr>
        <w:jc w:val="both"/>
        <w:rPr>
          <w:rFonts w:ascii="Arial" w:hAnsi="Arial" w:cs="Arial"/>
          <w:sz w:val="20"/>
          <w:szCs w:val="20"/>
        </w:rPr>
      </w:pPr>
    </w:p>
    <w:p w14:paraId="74F4F5BF" w14:textId="4F26F33C" w:rsidR="00631E80" w:rsidRPr="00631E80" w:rsidRDefault="00631E80" w:rsidP="00E6319B">
      <w:pPr>
        <w:jc w:val="both"/>
        <w:rPr>
          <w:rFonts w:ascii="Arial" w:hAnsi="Arial" w:cs="Arial"/>
          <w:i/>
          <w:sz w:val="20"/>
          <w:szCs w:val="20"/>
        </w:rPr>
      </w:pPr>
    </w:p>
    <w:p w14:paraId="0AA3436B" w14:textId="0E0CFE42" w:rsidR="00B80A35" w:rsidRDefault="00631E80" w:rsidP="009C0F81">
      <w:pPr>
        <w:jc w:val="both"/>
        <w:rPr>
          <w:rFonts w:ascii="Arial" w:hAnsi="Arial" w:cs="Arial"/>
          <w:b/>
          <w:sz w:val="20"/>
          <w:szCs w:val="20"/>
        </w:rPr>
      </w:pPr>
      <w:r w:rsidRPr="00631E80">
        <w:rPr>
          <w:rFonts w:ascii="Arial" w:hAnsi="Arial" w:cs="Arial"/>
          <w:i/>
          <w:sz w:val="20"/>
          <w:szCs w:val="20"/>
        </w:rPr>
        <w:t xml:space="preserve">Praha, </w:t>
      </w:r>
      <w:r w:rsidR="004148AB">
        <w:rPr>
          <w:rFonts w:ascii="Arial" w:hAnsi="Arial" w:cs="Arial"/>
          <w:i/>
          <w:sz w:val="20"/>
          <w:szCs w:val="20"/>
        </w:rPr>
        <w:t>8</w:t>
      </w:r>
      <w:r w:rsidRPr="00631E80">
        <w:rPr>
          <w:rFonts w:ascii="Arial" w:hAnsi="Arial" w:cs="Arial"/>
          <w:i/>
          <w:sz w:val="20"/>
          <w:szCs w:val="20"/>
        </w:rPr>
        <w:t>. března 2021</w:t>
      </w:r>
      <w:r w:rsidRPr="00631E80">
        <w:rPr>
          <w:rFonts w:ascii="Arial" w:hAnsi="Arial" w:cs="Arial"/>
          <w:sz w:val="20"/>
          <w:szCs w:val="20"/>
        </w:rPr>
        <w:t xml:space="preserve"> </w:t>
      </w:r>
      <w:r w:rsidR="00851C45">
        <w:rPr>
          <w:rFonts w:ascii="Arial" w:hAnsi="Arial" w:cs="Arial"/>
          <w:sz w:val="20"/>
          <w:szCs w:val="20"/>
        </w:rPr>
        <w:t>–</w:t>
      </w:r>
      <w:r w:rsidR="00F1156B">
        <w:rPr>
          <w:rFonts w:ascii="Arial" w:hAnsi="Arial" w:cs="Arial"/>
          <w:b/>
          <w:sz w:val="20"/>
          <w:szCs w:val="20"/>
        </w:rPr>
        <w:t xml:space="preserve"> Trh podílových fondů doznal </w:t>
      </w:r>
      <w:r w:rsidR="005F7090">
        <w:rPr>
          <w:rFonts w:ascii="Arial" w:hAnsi="Arial" w:cs="Arial"/>
          <w:b/>
          <w:sz w:val="20"/>
          <w:szCs w:val="20"/>
        </w:rPr>
        <w:t xml:space="preserve">v březnu </w:t>
      </w:r>
      <w:r w:rsidR="00F1156B">
        <w:rPr>
          <w:rFonts w:ascii="Arial" w:hAnsi="Arial" w:cs="Arial"/>
          <w:b/>
          <w:sz w:val="20"/>
          <w:szCs w:val="20"/>
        </w:rPr>
        <w:t>po</w:t>
      </w:r>
      <w:r w:rsidR="005F7090">
        <w:rPr>
          <w:rFonts w:ascii="Arial" w:hAnsi="Arial" w:cs="Arial"/>
          <w:b/>
          <w:sz w:val="20"/>
          <w:szCs w:val="20"/>
        </w:rPr>
        <w:t xml:space="preserve"> delší době výraznějších změn. N</w:t>
      </w:r>
      <w:r w:rsidR="00F1156B">
        <w:rPr>
          <w:rFonts w:ascii="Arial" w:hAnsi="Arial" w:cs="Arial"/>
          <w:b/>
          <w:sz w:val="20"/>
          <w:szCs w:val="20"/>
        </w:rPr>
        <w:t xml:space="preserve">a celé čáře </w:t>
      </w:r>
      <w:r w:rsidR="005F7090">
        <w:rPr>
          <w:rFonts w:ascii="Arial" w:hAnsi="Arial" w:cs="Arial"/>
          <w:b/>
          <w:sz w:val="20"/>
          <w:szCs w:val="20"/>
        </w:rPr>
        <w:t xml:space="preserve">zvítězily </w:t>
      </w:r>
      <w:r w:rsidR="00BF4A15">
        <w:rPr>
          <w:rFonts w:ascii="Arial" w:hAnsi="Arial" w:cs="Arial"/>
          <w:b/>
          <w:sz w:val="20"/>
          <w:szCs w:val="20"/>
        </w:rPr>
        <w:t>akciové</w:t>
      </w:r>
      <w:r w:rsidR="00F1156B">
        <w:rPr>
          <w:rFonts w:ascii="Arial" w:hAnsi="Arial" w:cs="Arial"/>
          <w:b/>
          <w:sz w:val="20"/>
          <w:szCs w:val="20"/>
        </w:rPr>
        <w:t xml:space="preserve"> fondy</w:t>
      </w:r>
      <w:r w:rsidR="006F052D">
        <w:rPr>
          <w:rFonts w:ascii="Arial" w:hAnsi="Arial" w:cs="Arial"/>
          <w:b/>
          <w:sz w:val="20"/>
          <w:szCs w:val="20"/>
        </w:rPr>
        <w:t>, které si p</w:t>
      </w:r>
      <w:r w:rsidR="00BF4A15">
        <w:rPr>
          <w:rFonts w:ascii="Arial" w:hAnsi="Arial" w:cs="Arial"/>
          <w:b/>
          <w:sz w:val="20"/>
          <w:szCs w:val="20"/>
        </w:rPr>
        <w:t xml:space="preserve">odle Broker Consulting Indexu podílových </w:t>
      </w:r>
      <w:r w:rsidR="006F052D">
        <w:rPr>
          <w:rFonts w:ascii="Arial" w:hAnsi="Arial" w:cs="Arial"/>
          <w:b/>
          <w:sz w:val="20"/>
          <w:szCs w:val="20"/>
        </w:rPr>
        <w:t>fondů připsaly nárůst</w:t>
      </w:r>
      <w:r w:rsidR="00BF4A15">
        <w:rPr>
          <w:rFonts w:ascii="Arial" w:hAnsi="Arial" w:cs="Arial"/>
          <w:b/>
          <w:sz w:val="20"/>
          <w:szCs w:val="20"/>
        </w:rPr>
        <w:t xml:space="preserve"> </w:t>
      </w:r>
      <w:r w:rsidR="008005EB">
        <w:rPr>
          <w:rFonts w:ascii="Arial" w:hAnsi="Arial" w:cs="Arial"/>
          <w:b/>
          <w:sz w:val="20"/>
          <w:szCs w:val="20"/>
        </w:rPr>
        <w:t xml:space="preserve">o </w:t>
      </w:r>
      <w:r w:rsidR="00B80A35">
        <w:rPr>
          <w:rFonts w:ascii="Arial" w:hAnsi="Arial" w:cs="Arial"/>
          <w:b/>
          <w:sz w:val="20"/>
          <w:szCs w:val="20"/>
        </w:rPr>
        <w:t xml:space="preserve">1,81 %. Všechny </w:t>
      </w:r>
      <w:r w:rsidR="004E7AEB">
        <w:rPr>
          <w:rFonts w:ascii="Arial" w:hAnsi="Arial" w:cs="Arial"/>
          <w:b/>
          <w:sz w:val="20"/>
          <w:szCs w:val="20"/>
        </w:rPr>
        <w:t>o</w:t>
      </w:r>
      <w:r w:rsidR="00F1156B">
        <w:rPr>
          <w:rFonts w:ascii="Arial" w:hAnsi="Arial" w:cs="Arial"/>
          <w:b/>
          <w:sz w:val="20"/>
          <w:szCs w:val="20"/>
        </w:rPr>
        <w:t xml:space="preserve">statní </w:t>
      </w:r>
      <w:r w:rsidR="00B80A35">
        <w:rPr>
          <w:rFonts w:ascii="Arial" w:hAnsi="Arial" w:cs="Arial"/>
          <w:b/>
          <w:sz w:val="20"/>
          <w:szCs w:val="20"/>
        </w:rPr>
        <w:t xml:space="preserve">sledované </w:t>
      </w:r>
      <w:r w:rsidR="00F1156B">
        <w:rPr>
          <w:rFonts w:ascii="Arial" w:hAnsi="Arial" w:cs="Arial"/>
          <w:b/>
          <w:sz w:val="20"/>
          <w:szCs w:val="20"/>
        </w:rPr>
        <w:t>fondy naop</w:t>
      </w:r>
      <w:r w:rsidR="00B80A35">
        <w:rPr>
          <w:rFonts w:ascii="Arial" w:hAnsi="Arial" w:cs="Arial"/>
          <w:b/>
          <w:sz w:val="20"/>
          <w:szCs w:val="20"/>
        </w:rPr>
        <w:t xml:space="preserve">ak ztratily, </w:t>
      </w:r>
      <w:r w:rsidR="005F7090">
        <w:rPr>
          <w:rFonts w:ascii="Arial" w:hAnsi="Arial" w:cs="Arial"/>
          <w:b/>
          <w:sz w:val="20"/>
          <w:szCs w:val="20"/>
        </w:rPr>
        <w:t xml:space="preserve">a to </w:t>
      </w:r>
      <w:r w:rsidR="00B80A35">
        <w:rPr>
          <w:rFonts w:ascii="Arial" w:hAnsi="Arial" w:cs="Arial"/>
          <w:b/>
          <w:sz w:val="20"/>
          <w:szCs w:val="20"/>
        </w:rPr>
        <w:t xml:space="preserve">včetně komoditních, které </w:t>
      </w:r>
      <w:r w:rsidR="00BF4A15">
        <w:rPr>
          <w:rFonts w:ascii="Arial" w:hAnsi="Arial" w:cs="Arial"/>
          <w:b/>
          <w:sz w:val="20"/>
          <w:szCs w:val="20"/>
        </w:rPr>
        <w:t>se po dvou předchozích měsících</w:t>
      </w:r>
      <w:r w:rsidR="0084178F">
        <w:rPr>
          <w:rFonts w:ascii="Arial" w:hAnsi="Arial" w:cs="Arial"/>
          <w:b/>
          <w:sz w:val="20"/>
          <w:szCs w:val="20"/>
        </w:rPr>
        <w:t>, kdy se hřály</w:t>
      </w:r>
      <w:r w:rsidR="00BF4A15">
        <w:rPr>
          <w:rFonts w:ascii="Arial" w:hAnsi="Arial" w:cs="Arial"/>
          <w:b/>
          <w:sz w:val="20"/>
          <w:szCs w:val="20"/>
        </w:rPr>
        <w:t xml:space="preserve"> </w:t>
      </w:r>
      <w:r w:rsidR="008005EB">
        <w:rPr>
          <w:rFonts w:ascii="Arial" w:hAnsi="Arial" w:cs="Arial"/>
          <w:b/>
          <w:sz w:val="20"/>
          <w:szCs w:val="20"/>
        </w:rPr>
        <w:t>na výsluní</w:t>
      </w:r>
      <w:r w:rsidR="0084178F">
        <w:rPr>
          <w:rFonts w:ascii="Arial" w:hAnsi="Arial" w:cs="Arial"/>
          <w:b/>
          <w:sz w:val="20"/>
          <w:szCs w:val="20"/>
        </w:rPr>
        <w:t xml:space="preserve">, </w:t>
      </w:r>
      <w:r w:rsidR="00BF4A15">
        <w:rPr>
          <w:rFonts w:ascii="Arial" w:hAnsi="Arial" w:cs="Arial"/>
          <w:b/>
          <w:sz w:val="20"/>
          <w:szCs w:val="20"/>
        </w:rPr>
        <w:t xml:space="preserve">ocitly </w:t>
      </w:r>
      <w:r w:rsidR="006F052D">
        <w:rPr>
          <w:rFonts w:ascii="Arial" w:hAnsi="Arial" w:cs="Arial"/>
          <w:b/>
          <w:sz w:val="20"/>
          <w:szCs w:val="20"/>
        </w:rPr>
        <w:t>v</w:t>
      </w:r>
      <w:r w:rsidR="00812E77">
        <w:rPr>
          <w:rFonts w:ascii="Arial" w:hAnsi="Arial" w:cs="Arial"/>
          <w:b/>
          <w:sz w:val="20"/>
          <w:szCs w:val="20"/>
        </w:rPr>
        <w:t> záporných</w:t>
      </w:r>
      <w:r w:rsidR="006F052D">
        <w:rPr>
          <w:rFonts w:ascii="Arial" w:hAnsi="Arial" w:cs="Arial"/>
          <w:b/>
          <w:sz w:val="20"/>
          <w:szCs w:val="20"/>
        </w:rPr>
        <w:t xml:space="preserve"> čísle</w:t>
      </w:r>
      <w:r w:rsidR="00812E77">
        <w:rPr>
          <w:rFonts w:ascii="Arial" w:hAnsi="Arial" w:cs="Arial"/>
          <w:b/>
          <w:sz w:val="20"/>
          <w:szCs w:val="20"/>
        </w:rPr>
        <w:t>ch</w:t>
      </w:r>
      <w:r w:rsidR="006F052D">
        <w:rPr>
          <w:rFonts w:ascii="Arial" w:hAnsi="Arial" w:cs="Arial"/>
          <w:b/>
          <w:sz w:val="20"/>
          <w:szCs w:val="20"/>
        </w:rPr>
        <w:t xml:space="preserve"> a zaznamenaly </w:t>
      </w:r>
      <w:r w:rsidR="00B80A35">
        <w:rPr>
          <w:rFonts w:ascii="Arial" w:hAnsi="Arial" w:cs="Arial"/>
          <w:b/>
          <w:sz w:val="20"/>
          <w:szCs w:val="20"/>
        </w:rPr>
        <w:t>největší</w:t>
      </w:r>
      <w:r w:rsidR="005F7090">
        <w:rPr>
          <w:rFonts w:ascii="Arial" w:hAnsi="Arial" w:cs="Arial"/>
          <w:b/>
          <w:sz w:val="20"/>
          <w:szCs w:val="20"/>
        </w:rPr>
        <w:t xml:space="preserve"> meziměsíční</w:t>
      </w:r>
      <w:r w:rsidR="00B80A35">
        <w:rPr>
          <w:rFonts w:ascii="Arial" w:hAnsi="Arial" w:cs="Arial"/>
          <w:b/>
          <w:sz w:val="20"/>
          <w:szCs w:val="20"/>
        </w:rPr>
        <w:t xml:space="preserve"> </w:t>
      </w:r>
      <w:r w:rsidR="006F052D">
        <w:rPr>
          <w:rFonts w:ascii="Arial" w:hAnsi="Arial" w:cs="Arial"/>
          <w:b/>
          <w:sz w:val="20"/>
          <w:szCs w:val="20"/>
        </w:rPr>
        <w:t xml:space="preserve">propad o celých 2,66 %. </w:t>
      </w:r>
      <w:r w:rsidR="00B80A35">
        <w:rPr>
          <w:rFonts w:ascii="Arial" w:hAnsi="Arial" w:cs="Arial"/>
          <w:b/>
          <w:sz w:val="20"/>
          <w:szCs w:val="20"/>
        </w:rPr>
        <w:t>Ztrátu opět</w:t>
      </w:r>
      <w:r w:rsidR="004E7AEB">
        <w:rPr>
          <w:rFonts w:ascii="Arial" w:hAnsi="Arial" w:cs="Arial"/>
          <w:b/>
          <w:sz w:val="20"/>
          <w:szCs w:val="20"/>
        </w:rPr>
        <w:t xml:space="preserve"> vykázaly fondy peněžního trhu </w:t>
      </w:r>
      <w:r w:rsidR="004E7AEB">
        <w:rPr>
          <w:rFonts w:ascii="Arial" w:hAnsi="Arial" w:cs="Arial"/>
          <w:sz w:val="20"/>
          <w:szCs w:val="20"/>
        </w:rPr>
        <w:t xml:space="preserve">– </w:t>
      </w:r>
      <w:r w:rsidR="004E7AEB">
        <w:rPr>
          <w:rFonts w:ascii="Arial" w:hAnsi="Arial" w:cs="Arial"/>
          <w:b/>
          <w:sz w:val="20"/>
          <w:szCs w:val="20"/>
        </w:rPr>
        <w:t xml:space="preserve">o 0,80 % </w:t>
      </w:r>
      <w:r w:rsidR="004E7AEB">
        <w:rPr>
          <w:rFonts w:ascii="Arial" w:hAnsi="Arial" w:cs="Arial"/>
          <w:sz w:val="20"/>
          <w:szCs w:val="20"/>
        </w:rPr>
        <w:t xml:space="preserve">– </w:t>
      </w:r>
      <w:r w:rsidR="00B80A35">
        <w:rPr>
          <w:rFonts w:ascii="Arial" w:hAnsi="Arial" w:cs="Arial"/>
          <w:b/>
          <w:sz w:val="20"/>
          <w:szCs w:val="20"/>
        </w:rPr>
        <w:t xml:space="preserve">a dluhopisové fondy, které </w:t>
      </w:r>
      <w:r w:rsidR="005F7090">
        <w:rPr>
          <w:rFonts w:ascii="Arial" w:hAnsi="Arial" w:cs="Arial"/>
          <w:b/>
          <w:sz w:val="20"/>
          <w:szCs w:val="20"/>
        </w:rPr>
        <w:t xml:space="preserve">se propadly o 1,12 %. V záporných hodnotách překvapivě </w:t>
      </w:r>
      <w:r w:rsidR="00B80A35">
        <w:rPr>
          <w:rFonts w:ascii="Arial" w:hAnsi="Arial" w:cs="Arial"/>
          <w:b/>
          <w:sz w:val="20"/>
          <w:szCs w:val="20"/>
        </w:rPr>
        <w:t xml:space="preserve">skončily </w:t>
      </w:r>
      <w:r w:rsidR="00AE548F">
        <w:rPr>
          <w:rFonts w:ascii="Arial" w:hAnsi="Arial" w:cs="Arial"/>
          <w:b/>
          <w:sz w:val="20"/>
          <w:szCs w:val="20"/>
        </w:rPr>
        <w:t xml:space="preserve">i </w:t>
      </w:r>
      <w:r w:rsidR="00B80A35">
        <w:rPr>
          <w:rFonts w:ascii="Arial" w:hAnsi="Arial" w:cs="Arial"/>
          <w:b/>
          <w:sz w:val="20"/>
          <w:szCs w:val="20"/>
        </w:rPr>
        <w:t xml:space="preserve">české nemovitostní fondy, které si odepsaly 0,03 %. </w:t>
      </w:r>
    </w:p>
    <w:p w14:paraId="74730B17" w14:textId="77777777" w:rsidR="009C0F81" w:rsidRDefault="009C0F81" w:rsidP="00893577">
      <w:pPr>
        <w:jc w:val="both"/>
        <w:rPr>
          <w:rFonts w:ascii="Arial" w:hAnsi="Arial" w:cs="Arial"/>
          <w:sz w:val="20"/>
          <w:szCs w:val="20"/>
        </w:rPr>
      </w:pPr>
    </w:p>
    <w:p w14:paraId="6455C26F" w14:textId="74BD3935" w:rsidR="00D118CC" w:rsidRDefault="00D118CC" w:rsidP="00A12A99">
      <w:pPr>
        <w:jc w:val="both"/>
        <w:rPr>
          <w:rFonts w:ascii="Arial" w:hAnsi="Arial" w:cs="Arial"/>
          <w:sz w:val="20"/>
          <w:szCs w:val="20"/>
        </w:rPr>
      </w:pPr>
      <w:r w:rsidRPr="00683626">
        <w:rPr>
          <w:rFonts w:ascii="Arial" w:hAnsi="Arial" w:cs="Arial"/>
          <w:sz w:val="20"/>
          <w:szCs w:val="20"/>
        </w:rPr>
        <w:t xml:space="preserve">Akciové fondy </w:t>
      </w:r>
      <w:r w:rsidR="008C6335" w:rsidRPr="00683626">
        <w:rPr>
          <w:rFonts w:ascii="Arial" w:hAnsi="Arial" w:cs="Arial"/>
          <w:sz w:val="20"/>
          <w:szCs w:val="20"/>
        </w:rPr>
        <w:t>dál</w:t>
      </w:r>
      <w:r w:rsidR="008C6335">
        <w:rPr>
          <w:rFonts w:ascii="Arial" w:hAnsi="Arial" w:cs="Arial"/>
          <w:sz w:val="20"/>
          <w:szCs w:val="20"/>
        </w:rPr>
        <w:t xml:space="preserve"> </w:t>
      </w:r>
      <w:r w:rsidRPr="00F37BA0">
        <w:rPr>
          <w:rFonts w:ascii="Arial" w:hAnsi="Arial" w:cs="Arial"/>
          <w:sz w:val="20"/>
          <w:szCs w:val="20"/>
        </w:rPr>
        <w:t xml:space="preserve">pokračují </w:t>
      </w:r>
      <w:r w:rsidR="008C6335">
        <w:rPr>
          <w:rFonts w:ascii="Arial" w:hAnsi="Arial" w:cs="Arial"/>
          <w:sz w:val="20"/>
          <w:szCs w:val="20"/>
        </w:rPr>
        <w:t>růstovým tempem</w:t>
      </w:r>
      <w:r w:rsidR="004E7E0B">
        <w:rPr>
          <w:rFonts w:ascii="Arial" w:hAnsi="Arial" w:cs="Arial"/>
          <w:sz w:val="20"/>
          <w:szCs w:val="20"/>
        </w:rPr>
        <w:t>, za nímž stojí</w:t>
      </w:r>
      <w:r w:rsidR="0084178F">
        <w:rPr>
          <w:rFonts w:ascii="Arial" w:hAnsi="Arial" w:cs="Arial"/>
          <w:sz w:val="20"/>
          <w:szCs w:val="20"/>
        </w:rPr>
        <w:t xml:space="preserve"> všemi</w:t>
      </w:r>
      <w:r w:rsidR="008C6335">
        <w:rPr>
          <w:rFonts w:ascii="Arial" w:hAnsi="Arial" w:cs="Arial"/>
          <w:sz w:val="20"/>
          <w:szCs w:val="20"/>
        </w:rPr>
        <w:t xml:space="preserve"> očekávané zlepšení pandemické situace díky masivnímu očkování. To potvrdil i březnový průzkum</w:t>
      </w:r>
      <w:r w:rsidR="004E7E0B">
        <w:rPr>
          <w:rFonts w:ascii="Arial" w:hAnsi="Arial" w:cs="Arial"/>
          <w:sz w:val="20"/>
          <w:szCs w:val="20"/>
        </w:rPr>
        <w:t xml:space="preserve"> banky</w:t>
      </w:r>
      <w:r w:rsidR="008C6335">
        <w:rPr>
          <w:rFonts w:ascii="Arial" w:hAnsi="Arial" w:cs="Arial"/>
          <w:sz w:val="20"/>
          <w:szCs w:val="20"/>
        </w:rPr>
        <w:t xml:space="preserve"> Bank </w:t>
      </w:r>
      <w:proofErr w:type="spellStart"/>
      <w:r w:rsidRPr="00F37BA0">
        <w:rPr>
          <w:rFonts w:ascii="Arial" w:hAnsi="Arial" w:cs="Arial"/>
          <w:sz w:val="20"/>
          <w:szCs w:val="20"/>
        </w:rPr>
        <w:t>of</w:t>
      </w:r>
      <w:proofErr w:type="spellEnd"/>
      <w:r w:rsidRPr="00F37BA0">
        <w:rPr>
          <w:rFonts w:ascii="Arial" w:hAnsi="Arial" w:cs="Arial"/>
          <w:sz w:val="20"/>
          <w:szCs w:val="20"/>
        </w:rPr>
        <w:t xml:space="preserve"> America</w:t>
      </w:r>
      <w:r w:rsidR="008C6335">
        <w:rPr>
          <w:rFonts w:ascii="Arial" w:hAnsi="Arial" w:cs="Arial"/>
          <w:sz w:val="20"/>
          <w:szCs w:val="20"/>
        </w:rPr>
        <w:t xml:space="preserve">, podle kterého se </w:t>
      </w:r>
      <w:r w:rsidR="0084178F">
        <w:rPr>
          <w:rFonts w:ascii="Arial" w:hAnsi="Arial" w:cs="Arial"/>
          <w:sz w:val="20"/>
          <w:szCs w:val="20"/>
        </w:rPr>
        <w:t xml:space="preserve">nyní </w:t>
      </w:r>
      <w:r w:rsidR="008C6335">
        <w:rPr>
          <w:rFonts w:ascii="Arial" w:hAnsi="Arial" w:cs="Arial"/>
          <w:sz w:val="20"/>
          <w:szCs w:val="20"/>
        </w:rPr>
        <w:t xml:space="preserve">manažeři fondů více než koronaviru obávají rostoucí inflace a </w:t>
      </w:r>
      <w:r w:rsidRPr="00F37BA0">
        <w:rPr>
          <w:rFonts w:ascii="Arial" w:hAnsi="Arial" w:cs="Arial"/>
          <w:sz w:val="20"/>
          <w:szCs w:val="20"/>
        </w:rPr>
        <w:t>hrozby spojené s potenciálním výprodejem n</w:t>
      </w:r>
      <w:r w:rsidR="004E7E0B">
        <w:rPr>
          <w:rFonts w:ascii="Arial" w:hAnsi="Arial" w:cs="Arial"/>
          <w:sz w:val="20"/>
          <w:szCs w:val="20"/>
        </w:rPr>
        <w:t>a dluhopisovém trhu</w:t>
      </w:r>
      <w:r w:rsidR="00F00576">
        <w:rPr>
          <w:rFonts w:ascii="Arial" w:hAnsi="Arial" w:cs="Arial"/>
          <w:sz w:val="20"/>
          <w:szCs w:val="20"/>
        </w:rPr>
        <w:t xml:space="preserve">, </w:t>
      </w:r>
      <w:r w:rsidR="005E51C5">
        <w:rPr>
          <w:rFonts w:ascii="Arial" w:hAnsi="Arial" w:cs="Arial"/>
          <w:sz w:val="20"/>
          <w:szCs w:val="20"/>
        </w:rPr>
        <w:t xml:space="preserve">který by nastal v případě </w:t>
      </w:r>
      <w:r w:rsidR="00F00576">
        <w:rPr>
          <w:rFonts w:ascii="Arial" w:hAnsi="Arial" w:cs="Arial"/>
          <w:sz w:val="20"/>
          <w:szCs w:val="20"/>
        </w:rPr>
        <w:t>zpřísňování měnové politiky centrálních bank</w:t>
      </w:r>
      <w:r w:rsidRPr="00F37BA0">
        <w:rPr>
          <w:rFonts w:ascii="Arial" w:hAnsi="Arial" w:cs="Arial"/>
          <w:sz w:val="20"/>
          <w:szCs w:val="20"/>
        </w:rPr>
        <w:t xml:space="preserve">. </w:t>
      </w:r>
      <w:r w:rsidR="005E51C5">
        <w:rPr>
          <w:rFonts w:ascii="Arial" w:hAnsi="Arial" w:cs="Arial"/>
          <w:sz w:val="20"/>
          <w:szCs w:val="20"/>
        </w:rPr>
        <w:t>Česko</w:t>
      </w:r>
      <w:r w:rsidR="00352515">
        <w:rPr>
          <w:rFonts w:ascii="Arial" w:hAnsi="Arial" w:cs="Arial"/>
          <w:sz w:val="20"/>
          <w:szCs w:val="20"/>
        </w:rPr>
        <w:t xml:space="preserve"> </w:t>
      </w:r>
      <w:r w:rsidR="005E51C5">
        <w:rPr>
          <w:rFonts w:ascii="Arial" w:hAnsi="Arial" w:cs="Arial"/>
          <w:sz w:val="20"/>
          <w:szCs w:val="20"/>
        </w:rPr>
        <w:t>bojuje</w:t>
      </w:r>
      <w:r w:rsidR="00352515">
        <w:rPr>
          <w:rFonts w:ascii="Arial" w:hAnsi="Arial" w:cs="Arial"/>
          <w:sz w:val="20"/>
          <w:szCs w:val="20"/>
        </w:rPr>
        <w:t> </w:t>
      </w:r>
      <w:r w:rsidR="00AE548F">
        <w:rPr>
          <w:rFonts w:ascii="Arial" w:hAnsi="Arial" w:cs="Arial"/>
          <w:sz w:val="20"/>
          <w:szCs w:val="20"/>
        </w:rPr>
        <w:t xml:space="preserve">s </w:t>
      </w:r>
      <w:r w:rsidR="00352515">
        <w:rPr>
          <w:rFonts w:ascii="Arial" w:hAnsi="Arial" w:cs="Arial"/>
          <w:sz w:val="20"/>
          <w:szCs w:val="20"/>
        </w:rPr>
        <w:t xml:space="preserve">vyšší </w:t>
      </w:r>
      <w:r w:rsidR="00AE548F">
        <w:rPr>
          <w:rFonts w:ascii="Arial" w:hAnsi="Arial" w:cs="Arial"/>
          <w:sz w:val="20"/>
          <w:szCs w:val="20"/>
        </w:rPr>
        <w:t>inflací již poměrně dlouho, její efekt pocítí při svých nákupech všichni spotřebitelé.</w:t>
      </w:r>
    </w:p>
    <w:p w14:paraId="1A838B2E" w14:textId="77777777" w:rsidR="00AE548F" w:rsidRDefault="00AE548F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1BA65DE0" w14:textId="62AB55DE" w:rsidR="00D118CC" w:rsidRPr="00683626" w:rsidRDefault="00786BA5" w:rsidP="00A12A99">
      <w:pPr>
        <w:jc w:val="both"/>
        <w:rPr>
          <w:rFonts w:ascii="Arial" w:hAnsi="Arial" w:cs="Arial"/>
          <w:sz w:val="20"/>
          <w:szCs w:val="20"/>
        </w:rPr>
      </w:pPr>
      <w:r w:rsidRPr="00786BA5">
        <w:rPr>
          <w:rFonts w:ascii="Arial" w:hAnsi="Arial" w:cs="Arial"/>
          <w:i/>
          <w:sz w:val="20"/>
          <w:szCs w:val="20"/>
        </w:rPr>
        <w:t>„Březnové výsledky Broker Consulting I</w:t>
      </w:r>
      <w:r w:rsidR="0084178F">
        <w:rPr>
          <w:rFonts w:ascii="Arial" w:hAnsi="Arial" w:cs="Arial"/>
          <w:i/>
          <w:sz w:val="20"/>
          <w:szCs w:val="20"/>
        </w:rPr>
        <w:t>ndexu podílových fondů přinesly</w:t>
      </w:r>
      <w:r w:rsidRPr="00786BA5">
        <w:rPr>
          <w:rFonts w:ascii="Arial" w:hAnsi="Arial" w:cs="Arial"/>
          <w:i/>
          <w:sz w:val="20"/>
          <w:szCs w:val="20"/>
        </w:rPr>
        <w:t xml:space="preserve"> jasného vítěze – akciové fondy, které si jako jediné připsaly kladné body.</w:t>
      </w:r>
      <w:r w:rsidRPr="00786BA5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Zaznamenaly meziměsíční </w:t>
      </w:r>
      <w:r w:rsidR="00D118CC" w:rsidRPr="00786BA5">
        <w:rPr>
          <w:rFonts w:ascii="Arial" w:hAnsi="Arial" w:cs="Arial"/>
          <w:i/>
          <w:sz w:val="20"/>
          <w:szCs w:val="20"/>
        </w:rPr>
        <w:t>zhodnocení o 1,81 %</w:t>
      </w:r>
      <w:r w:rsidR="004E7AEB">
        <w:rPr>
          <w:rFonts w:ascii="Arial" w:hAnsi="Arial" w:cs="Arial"/>
          <w:i/>
          <w:sz w:val="20"/>
          <w:szCs w:val="20"/>
        </w:rPr>
        <w:t xml:space="preserve">, přičemž </w:t>
      </w:r>
      <w:r w:rsidR="0084178F">
        <w:rPr>
          <w:rFonts w:ascii="Arial" w:hAnsi="Arial" w:cs="Arial"/>
          <w:i/>
          <w:sz w:val="20"/>
          <w:szCs w:val="20"/>
        </w:rPr>
        <w:t xml:space="preserve">podobné </w:t>
      </w:r>
      <w:r w:rsidRPr="00786BA5">
        <w:rPr>
          <w:rFonts w:ascii="Arial" w:hAnsi="Arial" w:cs="Arial"/>
          <w:i/>
          <w:sz w:val="20"/>
          <w:szCs w:val="20"/>
        </w:rPr>
        <w:t xml:space="preserve">růstové tempo si </w:t>
      </w:r>
      <w:r w:rsidR="00B90112">
        <w:rPr>
          <w:rFonts w:ascii="Arial" w:hAnsi="Arial" w:cs="Arial"/>
          <w:i/>
          <w:sz w:val="20"/>
          <w:szCs w:val="20"/>
        </w:rPr>
        <w:t>udržují již</w:t>
      </w:r>
      <w:r>
        <w:rPr>
          <w:rFonts w:ascii="Arial" w:hAnsi="Arial" w:cs="Arial"/>
          <w:i/>
          <w:sz w:val="20"/>
          <w:szCs w:val="20"/>
        </w:rPr>
        <w:t xml:space="preserve"> od</w:t>
      </w:r>
      <w:r w:rsidRPr="00786BA5">
        <w:rPr>
          <w:rFonts w:ascii="Arial" w:hAnsi="Arial" w:cs="Arial"/>
          <w:i/>
          <w:sz w:val="20"/>
          <w:szCs w:val="20"/>
        </w:rPr>
        <w:t xml:space="preserve"> začátku tohoto roku,“</w:t>
      </w:r>
      <w:r>
        <w:rPr>
          <w:rFonts w:ascii="Arial" w:hAnsi="Arial" w:cs="Arial"/>
          <w:sz w:val="20"/>
          <w:szCs w:val="20"/>
        </w:rPr>
        <w:t xml:space="preserve"> komentuje březnový Index</w:t>
      </w:r>
      <w:r w:rsidRPr="00D118CC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786BA5">
        <w:rPr>
          <w:rFonts w:ascii="Arial" w:hAnsi="Arial" w:cs="Arial"/>
          <w:b/>
          <w:sz w:val="20"/>
          <w:szCs w:val="20"/>
        </w:rPr>
        <w:t>analytik konzervativních investic Broker Consulting, Lukáš Vokel</w:t>
      </w:r>
      <w:r w:rsidR="00D118CC" w:rsidRPr="00F37BA0">
        <w:rPr>
          <w:rFonts w:ascii="Arial" w:hAnsi="Arial" w:cs="Arial"/>
          <w:sz w:val="20"/>
          <w:szCs w:val="20"/>
        </w:rPr>
        <w:t>. Dařilo se především evropským akciím</w:t>
      </w:r>
      <w:r>
        <w:rPr>
          <w:rFonts w:ascii="Arial" w:hAnsi="Arial" w:cs="Arial"/>
          <w:sz w:val="20"/>
          <w:szCs w:val="20"/>
        </w:rPr>
        <w:t>, n</w:t>
      </w:r>
      <w:r w:rsidR="00D118CC" w:rsidRPr="00F37BA0">
        <w:rPr>
          <w:rFonts w:ascii="Arial" w:hAnsi="Arial" w:cs="Arial"/>
          <w:sz w:val="20"/>
          <w:szCs w:val="20"/>
        </w:rPr>
        <w:t>apříklad německý index DAX, který zahrnuje 30 nejvýznamnějších německých společností, si za březen připsal 7,46 %</w:t>
      </w:r>
      <w:r w:rsidR="00F17CF8">
        <w:rPr>
          <w:rFonts w:ascii="Arial" w:hAnsi="Arial" w:cs="Arial"/>
          <w:sz w:val="20"/>
          <w:szCs w:val="20"/>
        </w:rPr>
        <w:t>. Pozadu však nezůstaly</w:t>
      </w:r>
      <w:r w:rsidR="00D118CC" w:rsidRPr="00F37BA0">
        <w:rPr>
          <w:rFonts w:ascii="Arial" w:hAnsi="Arial" w:cs="Arial"/>
          <w:sz w:val="20"/>
          <w:szCs w:val="20"/>
        </w:rPr>
        <w:t xml:space="preserve"> ani americké</w:t>
      </w:r>
      <w:r w:rsidR="00F17CF8">
        <w:rPr>
          <w:rFonts w:ascii="Arial" w:hAnsi="Arial" w:cs="Arial"/>
          <w:sz w:val="20"/>
          <w:szCs w:val="20"/>
        </w:rPr>
        <w:t xml:space="preserve"> akcie, index Dow Jones vykázal nárůst o </w:t>
      </w:r>
      <w:r w:rsidR="00D118CC" w:rsidRPr="00F37BA0">
        <w:rPr>
          <w:rFonts w:ascii="Arial" w:hAnsi="Arial" w:cs="Arial"/>
          <w:sz w:val="20"/>
          <w:szCs w:val="20"/>
        </w:rPr>
        <w:t xml:space="preserve">5,27 %. </w:t>
      </w:r>
      <w:r w:rsidR="00AE548F">
        <w:rPr>
          <w:rFonts w:ascii="Arial" w:hAnsi="Arial" w:cs="Arial"/>
          <w:i/>
          <w:sz w:val="20"/>
          <w:szCs w:val="20"/>
        </w:rPr>
        <w:t>„Akciovým fondům se daří u</w:t>
      </w:r>
      <w:r w:rsidR="00F17CF8" w:rsidRPr="00F17CF8">
        <w:rPr>
          <w:rFonts w:ascii="Arial" w:hAnsi="Arial" w:cs="Arial"/>
          <w:i/>
          <w:sz w:val="20"/>
          <w:szCs w:val="20"/>
        </w:rPr>
        <w:t>ž 12 měsíců</w:t>
      </w:r>
      <w:r w:rsidR="00F17CF8">
        <w:rPr>
          <w:rFonts w:ascii="Arial" w:hAnsi="Arial" w:cs="Arial"/>
          <w:i/>
          <w:sz w:val="20"/>
          <w:szCs w:val="20"/>
        </w:rPr>
        <w:t xml:space="preserve"> v řadě</w:t>
      </w:r>
      <w:r w:rsidR="00F17CF8" w:rsidRPr="00F17CF8">
        <w:rPr>
          <w:rFonts w:ascii="Arial" w:hAnsi="Arial" w:cs="Arial"/>
          <w:i/>
          <w:sz w:val="20"/>
          <w:szCs w:val="20"/>
        </w:rPr>
        <w:t xml:space="preserve">, jejich </w:t>
      </w:r>
      <w:r w:rsidR="00D118CC" w:rsidRPr="00F17CF8">
        <w:rPr>
          <w:rFonts w:ascii="Arial" w:hAnsi="Arial" w:cs="Arial"/>
          <w:i/>
          <w:sz w:val="20"/>
          <w:szCs w:val="20"/>
        </w:rPr>
        <w:t xml:space="preserve">výkonnost </w:t>
      </w:r>
      <w:r w:rsidR="00F17CF8" w:rsidRPr="00F17CF8">
        <w:rPr>
          <w:rFonts w:ascii="Arial" w:hAnsi="Arial" w:cs="Arial"/>
          <w:i/>
          <w:sz w:val="20"/>
          <w:szCs w:val="20"/>
        </w:rPr>
        <w:t xml:space="preserve">dosahuje skvělých </w:t>
      </w:r>
      <w:r w:rsidR="00D118CC" w:rsidRPr="00F17CF8">
        <w:rPr>
          <w:rFonts w:ascii="Arial" w:hAnsi="Arial" w:cs="Arial"/>
          <w:i/>
          <w:sz w:val="20"/>
          <w:szCs w:val="20"/>
        </w:rPr>
        <w:t>48,26 %</w:t>
      </w:r>
      <w:r w:rsidR="00AE548F">
        <w:rPr>
          <w:rFonts w:ascii="Arial" w:hAnsi="Arial" w:cs="Arial"/>
          <w:i/>
          <w:sz w:val="20"/>
          <w:szCs w:val="20"/>
        </w:rPr>
        <w:t xml:space="preserve">,“ </w:t>
      </w:r>
      <w:r w:rsidR="00AE548F" w:rsidRPr="00AE548F">
        <w:rPr>
          <w:rFonts w:ascii="Arial" w:hAnsi="Arial" w:cs="Arial"/>
          <w:sz w:val="20"/>
          <w:szCs w:val="20"/>
        </w:rPr>
        <w:t>říká Lukáš Vokel a dodává:</w:t>
      </w:r>
      <w:r w:rsidR="00AE548F">
        <w:rPr>
          <w:rFonts w:ascii="Arial" w:hAnsi="Arial" w:cs="Arial"/>
          <w:i/>
          <w:sz w:val="20"/>
          <w:szCs w:val="20"/>
        </w:rPr>
        <w:t xml:space="preserve"> </w:t>
      </w:r>
      <w:r w:rsidR="00AE548F" w:rsidRPr="00AE548F">
        <w:rPr>
          <w:rFonts w:ascii="Arial" w:hAnsi="Arial" w:cs="Arial"/>
          <w:i/>
          <w:sz w:val="20"/>
          <w:szCs w:val="20"/>
        </w:rPr>
        <w:t>„N</w:t>
      </w:r>
      <w:r w:rsidR="00F17CF8" w:rsidRPr="00AE548F">
        <w:rPr>
          <w:rFonts w:ascii="Arial" w:hAnsi="Arial" w:cs="Arial"/>
          <w:i/>
          <w:sz w:val="20"/>
          <w:szCs w:val="20"/>
        </w:rPr>
        <w:t>a</w:t>
      </w:r>
      <w:r w:rsidR="00D118CC" w:rsidRPr="00AE548F">
        <w:rPr>
          <w:rFonts w:ascii="Arial" w:hAnsi="Arial" w:cs="Arial"/>
          <w:i/>
          <w:sz w:val="20"/>
          <w:szCs w:val="20"/>
        </w:rPr>
        <w:t xml:space="preserve"> konci března m</w:t>
      </w:r>
      <w:r w:rsidR="00F17CF8" w:rsidRPr="00AE548F">
        <w:rPr>
          <w:rFonts w:ascii="Arial" w:hAnsi="Arial" w:cs="Arial"/>
          <w:i/>
          <w:sz w:val="20"/>
          <w:szCs w:val="20"/>
        </w:rPr>
        <w:t>inulého roku byly akciové fondy</w:t>
      </w:r>
      <w:r w:rsidR="00D118CC" w:rsidRPr="00AE548F">
        <w:rPr>
          <w:rFonts w:ascii="Arial" w:hAnsi="Arial" w:cs="Arial"/>
          <w:i/>
          <w:sz w:val="20"/>
          <w:szCs w:val="20"/>
        </w:rPr>
        <w:t xml:space="preserve"> blízko nejnižší hodnoty propadu</w:t>
      </w:r>
      <w:r w:rsidR="00F17CF8" w:rsidRPr="00AE548F">
        <w:rPr>
          <w:rFonts w:ascii="Arial" w:hAnsi="Arial" w:cs="Arial"/>
          <w:i/>
          <w:sz w:val="20"/>
          <w:szCs w:val="20"/>
        </w:rPr>
        <w:t>, který jsme loni zaznamenali,</w:t>
      </w:r>
      <w:r w:rsidR="00B90112" w:rsidRPr="00AE548F">
        <w:rPr>
          <w:rFonts w:ascii="Arial" w:hAnsi="Arial" w:cs="Arial"/>
          <w:i/>
          <w:sz w:val="20"/>
          <w:szCs w:val="20"/>
        </w:rPr>
        <w:t xml:space="preserve"> proto je </w:t>
      </w:r>
      <w:r w:rsidR="004E7AEB" w:rsidRPr="00AE548F">
        <w:rPr>
          <w:rFonts w:ascii="Arial" w:hAnsi="Arial" w:cs="Arial"/>
          <w:i/>
          <w:sz w:val="20"/>
          <w:szCs w:val="20"/>
        </w:rPr>
        <w:t xml:space="preserve">meziroční </w:t>
      </w:r>
      <w:r w:rsidR="00B90112" w:rsidRPr="00AE548F">
        <w:rPr>
          <w:rFonts w:ascii="Arial" w:hAnsi="Arial" w:cs="Arial"/>
          <w:i/>
          <w:sz w:val="20"/>
          <w:szCs w:val="20"/>
        </w:rPr>
        <w:t>nárůst tak vysoký</w:t>
      </w:r>
      <w:r w:rsidR="00AE548F" w:rsidRPr="00AE548F">
        <w:rPr>
          <w:rFonts w:ascii="Arial" w:hAnsi="Arial" w:cs="Arial"/>
          <w:i/>
          <w:sz w:val="20"/>
          <w:szCs w:val="20"/>
        </w:rPr>
        <w:t>.“</w:t>
      </w:r>
    </w:p>
    <w:p w14:paraId="304C7B0B" w14:textId="77777777" w:rsidR="00D118CC" w:rsidRPr="00683626" w:rsidRDefault="00D118CC" w:rsidP="00A12A99">
      <w:pPr>
        <w:jc w:val="both"/>
        <w:rPr>
          <w:rFonts w:ascii="Arial" w:hAnsi="Arial" w:cs="Arial"/>
          <w:sz w:val="20"/>
          <w:szCs w:val="20"/>
        </w:rPr>
      </w:pPr>
    </w:p>
    <w:p w14:paraId="259F780A" w14:textId="7876623F" w:rsidR="00F17CF8" w:rsidRPr="00683626" w:rsidRDefault="00F17CF8" w:rsidP="00A12A99">
      <w:pPr>
        <w:jc w:val="both"/>
        <w:rPr>
          <w:rFonts w:ascii="Arial" w:hAnsi="Arial" w:cs="Arial"/>
          <w:sz w:val="20"/>
          <w:szCs w:val="20"/>
        </w:rPr>
      </w:pPr>
      <w:r w:rsidRPr="00683626">
        <w:rPr>
          <w:rFonts w:ascii="Arial" w:hAnsi="Arial" w:cs="Arial"/>
          <w:sz w:val="20"/>
          <w:szCs w:val="20"/>
        </w:rPr>
        <w:t xml:space="preserve">Březen nebyl </w:t>
      </w:r>
      <w:r w:rsidR="00F63CCA">
        <w:rPr>
          <w:rFonts w:ascii="Arial" w:hAnsi="Arial" w:cs="Arial"/>
          <w:sz w:val="20"/>
          <w:szCs w:val="20"/>
        </w:rPr>
        <w:t>nijak</w:t>
      </w:r>
      <w:r w:rsidRPr="00683626">
        <w:rPr>
          <w:rFonts w:ascii="Arial" w:hAnsi="Arial" w:cs="Arial"/>
          <w:sz w:val="20"/>
          <w:szCs w:val="20"/>
        </w:rPr>
        <w:t xml:space="preserve"> přívětivý pro komoditní fondy, </w:t>
      </w:r>
      <w:r w:rsidR="00D76C6E" w:rsidRPr="00683626">
        <w:rPr>
          <w:rFonts w:ascii="Arial" w:hAnsi="Arial" w:cs="Arial"/>
          <w:sz w:val="20"/>
          <w:szCs w:val="20"/>
        </w:rPr>
        <w:t>které se po předchozích dvou měsících intenzivního posilování propadly o 2,66 %. Ke slabému výsledku přispěl mimo jiné pokles cen zemního plynu a stříbra, které v březnu ztratilo téměř 8 %. Přesto si komoditní trhy od začátku roku celkově při</w:t>
      </w:r>
      <w:r w:rsidRPr="00683626">
        <w:rPr>
          <w:rFonts w:ascii="Arial" w:hAnsi="Arial" w:cs="Arial"/>
          <w:sz w:val="20"/>
          <w:szCs w:val="20"/>
        </w:rPr>
        <w:t xml:space="preserve">pisují 7,2 %. </w:t>
      </w:r>
    </w:p>
    <w:p w14:paraId="5CA95407" w14:textId="77777777" w:rsidR="00F17CF8" w:rsidRPr="00683626" w:rsidRDefault="00F17CF8" w:rsidP="00A12A99">
      <w:pPr>
        <w:jc w:val="both"/>
        <w:rPr>
          <w:rFonts w:ascii="Arial" w:hAnsi="Arial" w:cs="Arial"/>
          <w:sz w:val="20"/>
          <w:szCs w:val="20"/>
        </w:rPr>
      </w:pPr>
    </w:p>
    <w:p w14:paraId="46201451" w14:textId="10CD6E73" w:rsidR="00D76C6E" w:rsidRPr="00683626" w:rsidRDefault="00D76C6E" w:rsidP="00A12A99">
      <w:pPr>
        <w:jc w:val="both"/>
        <w:rPr>
          <w:rFonts w:ascii="Arial" w:hAnsi="Arial" w:cs="Arial"/>
          <w:sz w:val="20"/>
          <w:szCs w:val="20"/>
        </w:rPr>
      </w:pPr>
      <w:r w:rsidRPr="00683626">
        <w:rPr>
          <w:rFonts w:ascii="Arial" w:hAnsi="Arial" w:cs="Arial"/>
          <w:sz w:val="20"/>
          <w:szCs w:val="20"/>
        </w:rPr>
        <w:t>Meziměsíční propad zaznamenaly také nemovitostní fondy, které v březnu skončily se zápornou hodnotou -0,03 %.</w:t>
      </w:r>
      <w:r w:rsidR="007E1FBA" w:rsidRPr="00683626">
        <w:rPr>
          <w:rFonts w:ascii="Arial" w:hAnsi="Arial" w:cs="Arial"/>
          <w:sz w:val="20"/>
          <w:szCs w:val="20"/>
        </w:rPr>
        <w:t xml:space="preserve"> </w:t>
      </w:r>
      <w:r w:rsidRPr="00683626">
        <w:rPr>
          <w:rFonts w:ascii="Arial" w:hAnsi="Arial" w:cs="Arial"/>
          <w:sz w:val="20"/>
          <w:szCs w:val="20"/>
        </w:rPr>
        <w:t>České nemovitostní fon</w:t>
      </w:r>
      <w:r w:rsidR="007E1FBA" w:rsidRPr="00683626">
        <w:rPr>
          <w:rFonts w:ascii="Arial" w:hAnsi="Arial" w:cs="Arial"/>
          <w:sz w:val="20"/>
          <w:szCs w:val="20"/>
        </w:rPr>
        <w:t>dy jsou obvykle považovány za</w:t>
      </w:r>
      <w:r w:rsidRPr="00683626">
        <w:rPr>
          <w:rFonts w:ascii="Arial" w:hAnsi="Arial" w:cs="Arial"/>
          <w:sz w:val="20"/>
          <w:szCs w:val="20"/>
        </w:rPr>
        <w:t xml:space="preserve"> velice konzervativní nástroj investování,</w:t>
      </w:r>
      <w:r w:rsidR="007E1FBA" w:rsidRPr="00683626">
        <w:rPr>
          <w:rFonts w:ascii="Arial" w:hAnsi="Arial" w:cs="Arial"/>
          <w:sz w:val="20"/>
          <w:szCs w:val="20"/>
        </w:rPr>
        <w:t xml:space="preserve"> jejich občasný pokles pak v investorech vzbuzuje značné překvapení. I zde platí, že historická výkonnost není spolehlivým ukazatelem budoucích výnosů. Přestože nemovitostní fondy obecně vykazují mnohem menší volatilitu než rizikovější skupiny podílových fondů, nelze opomíjet rizika, která provázejí každou investici. </w:t>
      </w:r>
    </w:p>
    <w:p w14:paraId="50343BD3" w14:textId="77777777" w:rsidR="00D76C6E" w:rsidRPr="00683626" w:rsidRDefault="00D76C6E" w:rsidP="00A12A99">
      <w:pPr>
        <w:jc w:val="both"/>
        <w:rPr>
          <w:rFonts w:ascii="Arial" w:hAnsi="Arial" w:cs="Arial"/>
          <w:sz w:val="20"/>
          <w:szCs w:val="20"/>
        </w:rPr>
      </w:pPr>
    </w:p>
    <w:p w14:paraId="586C0EE6" w14:textId="6C44C2EA" w:rsidR="00D118CC" w:rsidRPr="00F37BA0" w:rsidRDefault="00B41CE5" w:rsidP="00A12A99">
      <w:pPr>
        <w:jc w:val="both"/>
        <w:rPr>
          <w:rFonts w:ascii="Arial" w:hAnsi="Arial" w:cs="Arial"/>
          <w:sz w:val="20"/>
          <w:szCs w:val="20"/>
        </w:rPr>
      </w:pPr>
      <w:r w:rsidRPr="00683626">
        <w:rPr>
          <w:rFonts w:ascii="Arial" w:hAnsi="Arial" w:cs="Arial"/>
          <w:sz w:val="20"/>
          <w:szCs w:val="20"/>
        </w:rPr>
        <w:t>Dluhopisové fondy a fondy</w:t>
      </w:r>
      <w:r w:rsidR="00D118CC" w:rsidRPr="00683626">
        <w:rPr>
          <w:rFonts w:ascii="Arial" w:hAnsi="Arial" w:cs="Arial"/>
          <w:sz w:val="20"/>
          <w:szCs w:val="20"/>
        </w:rPr>
        <w:t xml:space="preserve"> peněžního trhu</w:t>
      </w:r>
      <w:r w:rsidR="007E1FBA" w:rsidRPr="00683626">
        <w:rPr>
          <w:rFonts w:ascii="Arial" w:hAnsi="Arial" w:cs="Arial"/>
          <w:sz w:val="20"/>
          <w:szCs w:val="20"/>
        </w:rPr>
        <w:t xml:space="preserve"> pokračovaly </w:t>
      </w:r>
      <w:r w:rsidRPr="00683626">
        <w:rPr>
          <w:rFonts w:ascii="Arial" w:hAnsi="Arial" w:cs="Arial"/>
          <w:sz w:val="20"/>
          <w:szCs w:val="20"/>
        </w:rPr>
        <w:t>ve ztrátě už třetí měsíc v řadě</w:t>
      </w:r>
      <w:r w:rsidR="00D118CC" w:rsidRPr="00683626">
        <w:rPr>
          <w:rFonts w:ascii="Arial" w:hAnsi="Arial" w:cs="Arial"/>
          <w:sz w:val="20"/>
          <w:szCs w:val="20"/>
        </w:rPr>
        <w:t xml:space="preserve">. </w:t>
      </w:r>
      <w:r w:rsidRPr="00683626">
        <w:rPr>
          <w:rFonts w:ascii="Arial" w:hAnsi="Arial" w:cs="Arial"/>
          <w:sz w:val="20"/>
          <w:szCs w:val="20"/>
        </w:rPr>
        <w:t xml:space="preserve">Fondy peněžního trhu </w:t>
      </w:r>
      <w:r w:rsidR="00F63CCA" w:rsidRPr="00683626">
        <w:rPr>
          <w:rFonts w:ascii="Arial" w:hAnsi="Arial" w:cs="Arial"/>
          <w:sz w:val="20"/>
          <w:szCs w:val="20"/>
        </w:rPr>
        <w:t xml:space="preserve">v březnu </w:t>
      </w:r>
      <w:r w:rsidRPr="00683626">
        <w:rPr>
          <w:rFonts w:ascii="Arial" w:hAnsi="Arial" w:cs="Arial"/>
          <w:sz w:val="20"/>
          <w:szCs w:val="20"/>
        </w:rPr>
        <w:t>odepsaly -0,80 %, dluhopisové fondy pak -1,12 %. Na trhu lze sledovat</w:t>
      </w:r>
      <w:r w:rsidR="00D118CC" w:rsidRPr="00683626">
        <w:rPr>
          <w:rFonts w:ascii="Arial" w:hAnsi="Arial" w:cs="Arial"/>
          <w:sz w:val="20"/>
          <w:szCs w:val="20"/>
        </w:rPr>
        <w:t xml:space="preserve"> trend poklesu cen vládních dluhopisů, </w:t>
      </w:r>
      <w:r w:rsidRPr="00683626">
        <w:rPr>
          <w:rFonts w:ascii="Arial" w:hAnsi="Arial" w:cs="Arial"/>
          <w:sz w:val="20"/>
          <w:szCs w:val="20"/>
        </w:rPr>
        <w:t>za kterým stojí jednak stále velice uvolněná fiskální politika, a jednak obavy z rostoucí inflace</w:t>
      </w:r>
      <w:r>
        <w:rPr>
          <w:rFonts w:ascii="Arial" w:hAnsi="Arial" w:cs="Arial"/>
          <w:sz w:val="20"/>
          <w:szCs w:val="20"/>
        </w:rPr>
        <w:t xml:space="preserve">. V důsledku poklesu cen dluhopisů dochází k </w:t>
      </w:r>
      <w:r w:rsidR="00D118CC" w:rsidRPr="00F37BA0">
        <w:rPr>
          <w:rFonts w:ascii="Arial" w:hAnsi="Arial" w:cs="Arial"/>
          <w:sz w:val="20"/>
          <w:szCs w:val="20"/>
        </w:rPr>
        <w:t>růst</w:t>
      </w:r>
      <w:r>
        <w:rPr>
          <w:rFonts w:ascii="Arial" w:hAnsi="Arial" w:cs="Arial"/>
          <w:sz w:val="20"/>
          <w:szCs w:val="20"/>
        </w:rPr>
        <w:t>u</w:t>
      </w:r>
      <w:r w:rsidR="00D118CC" w:rsidRPr="00F37BA0">
        <w:rPr>
          <w:rFonts w:ascii="Arial" w:hAnsi="Arial" w:cs="Arial"/>
          <w:sz w:val="20"/>
          <w:szCs w:val="20"/>
        </w:rPr>
        <w:t xml:space="preserve"> jejich výnosů do splatnosti</w:t>
      </w:r>
      <w:r w:rsidR="0084178F">
        <w:rPr>
          <w:rFonts w:ascii="Arial" w:hAnsi="Arial" w:cs="Arial"/>
          <w:sz w:val="20"/>
          <w:szCs w:val="20"/>
        </w:rPr>
        <w:t>, a to</w:t>
      </w:r>
      <w:r w:rsidR="00D118CC" w:rsidRPr="00F37BA0">
        <w:rPr>
          <w:rFonts w:ascii="Arial" w:hAnsi="Arial" w:cs="Arial"/>
          <w:sz w:val="20"/>
          <w:szCs w:val="20"/>
        </w:rPr>
        <w:t xml:space="preserve"> především u delších splatností.</w:t>
      </w:r>
    </w:p>
    <w:p w14:paraId="3DB39E96" w14:textId="77777777" w:rsidR="00D118CC" w:rsidRDefault="00D118C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4BF633B2" w14:textId="202DB50A" w:rsidR="00D118CC" w:rsidRPr="00821B36" w:rsidRDefault="00821B36" w:rsidP="00A12A99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21B36">
        <w:rPr>
          <w:rFonts w:ascii="Arial" w:hAnsi="Arial" w:cs="Arial"/>
          <w:b/>
          <w:sz w:val="20"/>
          <w:szCs w:val="20"/>
          <w:u w:val="single"/>
        </w:rPr>
        <w:t xml:space="preserve">Komentář Lukáše </w:t>
      </w:r>
      <w:proofErr w:type="spellStart"/>
      <w:r w:rsidRPr="00821B36">
        <w:rPr>
          <w:rFonts w:ascii="Arial" w:hAnsi="Arial" w:cs="Arial"/>
          <w:b/>
          <w:sz w:val="20"/>
          <w:szCs w:val="20"/>
          <w:u w:val="single"/>
        </w:rPr>
        <w:t>Vokela</w:t>
      </w:r>
      <w:proofErr w:type="spellEnd"/>
      <w:r>
        <w:rPr>
          <w:rFonts w:ascii="Arial" w:hAnsi="Arial" w:cs="Arial"/>
          <w:b/>
          <w:sz w:val="20"/>
          <w:szCs w:val="20"/>
          <w:u w:val="single"/>
        </w:rPr>
        <w:t xml:space="preserve"> k březnovému dění na trzích</w:t>
      </w:r>
    </w:p>
    <w:p w14:paraId="3F2A1AD7" w14:textId="77777777" w:rsidR="00D118CC" w:rsidRPr="00821B36" w:rsidRDefault="00D118CC" w:rsidP="00A12A99">
      <w:pPr>
        <w:jc w:val="both"/>
        <w:rPr>
          <w:rFonts w:ascii="Arial" w:hAnsi="Arial" w:cs="Arial"/>
          <w:sz w:val="20"/>
          <w:szCs w:val="20"/>
        </w:rPr>
      </w:pPr>
      <w:r w:rsidRPr="00821B36">
        <w:rPr>
          <w:rFonts w:ascii="Arial" w:hAnsi="Arial" w:cs="Arial"/>
          <w:sz w:val="20"/>
          <w:szCs w:val="20"/>
        </w:rPr>
        <w:t>Trhy se dlouhodobě zotavují ze ztrát</w:t>
      </w:r>
    </w:p>
    <w:p w14:paraId="4D548884" w14:textId="14870EDC" w:rsidR="00D118CC" w:rsidRPr="00957DEA" w:rsidRDefault="00957DEA" w:rsidP="00A12A99">
      <w:pPr>
        <w:jc w:val="both"/>
        <w:rPr>
          <w:rFonts w:ascii="Arial" w:hAnsi="Arial" w:cs="Arial"/>
          <w:i/>
          <w:sz w:val="20"/>
          <w:szCs w:val="20"/>
        </w:rPr>
      </w:pPr>
      <w:r w:rsidRPr="00957DEA">
        <w:rPr>
          <w:rFonts w:ascii="Arial" w:hAnsi="Arial" w:cs="Arial"/>
          <w:i/>
          <w:sz w:val="20"/>
          <w:szCs w:val="20"/>
        </w:rPr>
        <w:t>„</w:t>
      </w:r>
      <w:r w:rsidR="00821B36" w:rsidRPr="00957DEA">
        <w:rPr>
          <w:rFonts w:ascii="Arial" w:hAnsi="Arial" w:cs="Arial"/>
          <w:i/>
          <w:sz w:val="20"/>
          <w:szCs w:val="20"/>
        </w:rPr>
        <w:t xml:space="preserve">Březnové záporné výsledky sledovaných fondů nejsou nijak neobvyklé. </w:t>
      </w:r>
      <w:r w:rsidR="00D118CC" w:rsidRPr="00957DEA">
        <w:rPr>
          <w:rFonts w:ascii="Arial" w:hAnsi="Arial" w:cs="Arial"/>
          <w:i/>
          <w:sz w:val="20"/>
          <w:szCs w:val="20"/>
        </w:rPr>
        <w:t xml:space="preserve">Korekce patří mezi běžné dění na finančních trzích. </w:t>
      </w:r>
      <w:r w:rsidR="00821B36" w:rsidRPr="00957DEA">
        <w:rPr>
          <w:rFonts w:ascii="Arial" w:hAnsi="Arial" w:cs="Arial"/>
          <w:i/>
          <w:sz w:val="20"/>
          <w:szCs w:val="20"/>
        </w:rPr>
        <w:t xml:space="preserve">Podíváme-li se na </w:t>
      </w:r>
      <w:r w:rsidR="00D118CC" w:rsidRPr="00957DEA">
        <w:rPr>
          <w:rFonts w:ascii="Arial" w:hAnsi="Arial" w:cs="Arial"/>
          <w:i/>
          <w:sz w:val="20"/>
          <w:szCs w:val="20"/>
        </w:rPr>
        <w:t xml:space="preserve">předchozí finanční krize a </w:t>
      </w:r>
      <w:r w:rsidR="00821B36" w:rsidRPr="00957DEA">
        <w:rPr>
          <w:rFonts w:ascii="Arial" w:hAnsi="Arial" w:cs="Arial"/>
          <w:i/>
          <w:sz w:val="20"/>
          <w:szCs w:val="20"/>
        </w:rPr>
        <w:t xml:space="preserve">s nimi spojené </w:t>
      </w:r>
      <w:r w:rsidR="00D118CC" w:rsidRPr="00957DEA">
        <w:rPr>
          <w:rFonts w:ascii="Arial" w:hAnsi="Arial" w:cs="Arial"/>
          <w:i/>
          <w:sz w:val="20"/>
          <w:szCs w:val="20"/>
        </w:rPr>
        <w:t xml:space="preserve">výrazné akciové propady, </w:t>
      </w:r>
      <w:r w:rsidR="00821B36" w:rsidRPr="00957DEA">
        <w:rPr>
          <w:rFonts w:ascii="Arial" w:hAnsi="Arial" w:cs="Arial"/>
          <w:i/>
          <w:sz w:val="20"/>
          <w:szCs w:val="20"/>
        </w:rPr>
        <w:t xml:space="preserve">uvidíme, že </w:t>
      </w:r>
      <w:r w:rsidR="00D118CC" w:rsidRPr="00957DEA">
        <w:rPr>
          <w:rFonts w:ascii="Arial" w:hAnsi="Arial" w:cs="Arial"/>
          <w:i/>
          <w:sz w:val="20"/>
          <w:szCs w:val="20"/>
        </w:rPr>
        <w:t>po určitém čas</w:t>
      </w:r>
      <w:r w:rsidR="00821B36" w:rsidRPr="00957DEA">
        <w:rPr>
          <w:rFonts w:ascii="Arial" w:hAnsi="Arial" w:cs="Arial"/>
          <w:i/>
          <w:sz w:val="20"/>
          <w:szCs w:val="20"/>
        </w:rPr>
        <w:t xml:space="preserve">ovém období akcie a indexy podobné </w:t>
      </w:r>
      <w:r w:rsidR="00D118CC" w:rsidRPr="00957DEA">
        <w:rPr>
          <w:rFonts w:ascii="Arial" w:hAnsi="Arial" w:cs="Arial"/>
          <w:i/>
          <w:sz w:val="20"/>
          <w:szCs w:val="20"/>
        </w:rPr>
        <w:t xml:space="preserve">propady </w:t>
      </w:r>
      <w:r w:rsidR="00821B36" w:rsidRPr="00957DEA">
        <w:rPr>
          <w:rFonts w:ascii="Arial" w:hAnsi="Arial" w:cs="Arial"/>
          <w:i/>
          <w:sz w:val="20"/>
          <w:szCs w:val="20"/>
        </w:rPr>
        <w:t xml:space="preserve">vždy </w:t>
      </w:r>
      <w:r w:rsidR="00D118CC" w:rsidRPr="00957DEA">
        <w:rPr>
          <w:rFonts w:ascii="Arial" w:hAnsi="Arial" w:cs="Arial"/>
          <w:i/>
          <w:sz w:val="20"/>
          <w:szCs w:val="20"/>
        </w:rPr>
        <w:t xml:space="preserve">překonaly. </w:t>
      </w:r>
      <w:r w:rsidRPr="00957DEA">
        <w:rPr>
          <w:rFonts w:ascii="Arial" w:hAnsi="Arial" w:cs="Arial"/>
          <w:i/>
          <w:sz w:val="20"/>
          <w:szCs w:val="20"/>
        </w:rPr>
        <w:t>S propady je však třeba počítat i během dlouhodobého růstu</w:t>
      </w:r>
      <w:r w:rsidR="00D118CC" w:rsidRPr="00957DEA">
        <w:rPr>
          <w:rFonts w:ascii="Arial" w:hAnsi="Arial" w:cs="Arial"/>
          <w:i/>
          <w:sz w:val="20"/>
          <w:szCs w:val="20"/>
        </w:rPr>
        <w:t xml:space="preserve">. </w:t>
      </w:r>
      <w:r w:rsidRPr="00957DEA">
        <w:rPr>
          <w:rFonts w:ascii="Arial" w:hAnsi="Arial" w:cs="Arial"/>
          <w:i/>
          <w:sz w:val="20"/>
          <w:szCs w:val="20"/>
        </w:rPr>
        <w:t>Ve srovnání s dříve zaznamenaným maximem jsou z</w:t>
      </w:r>
      <w:r w:rsidR="00D118CC" w:rsidRPr="00957DEA">
        <w:rPr>
          <w:rFonts w:ascii="Arial" w:hAnsi="Arial" w:cs="Arial"/>
          <w:i/>
          <w:sz w:val="20"/>
          <w:szCs w:val="20"/>
        </w:rPr>
        <w:t xml:space="preserve">tráty o 10-20 % hodnoty akcie či indexu </w:t>
      </w:r>
      <w:r w:rsidRPr="00957DEA">
        <w:rPr>
          <w:rFonts w:ascii="Arial" w:hAnsi="Arial" w:cs="Arial"/>
          <w:i/>
          <w:sz w:val="20"/>
          <w:szCs w:val="20"/>
        </w:rPr>
        <w:t xml:space="preserve">poměrně </w:t>
      </w:r>
      <w:r w:rsidR="00D118CC" w:rsidRPr="00957DEA">
        <w:rPr>
          <w:rFonts w:ascii="Arial" w:hAnsi="Arial" w:cs="Arial"/>
          <w:i/>
          <w:sz w:val="20"/>
          <w:szCs w:val="20"/>
        </w:rPr>
        <w:t>obvyklé.</w:t>
      </w:r>
      <w:r w:rsidRPr="00957DEA">
        <w:rPr>
          <w:rFonts w:ascii="Arial" w:hAnsi="Arial" w:cs="Arial"/>
          <w:i/>
          <w:sz w:val="20"/>
          <w:szCs w:val="20"/>
        </w:rPr>
        <w:t>“</w:t>
      </w:r>
      <w:r w:rsidR="00D118CC" w:rsidRPr="00957DEA">
        <w:rPr>
          <w:rFonts w:ascii="Arial" w:hAnsi="Arial" w:cs="Arial"/>
          <w:i/>
          <w:sz w:val="20"/>
          <w:szCs w:val="20"/>
        </w:rPr>
        <w:t xml:space="preserve"> </w:t>
      </w:r>
    </w:p>
    <w:p w14:paraId="14DFEB64" w14:textId="6979D8CD" w:rsidR="00D118CC" w:rsidRDefault="00D118CC" w:rsidP="00A12A99">
      <w:pPr>
        <w:jc w:val="both"/>
        <w:rPr>
          <w:rFonts w:ascii="Arial" w:hAnsi="Arial" w:cs="Arial"/>
          <w:color w:val="FF0000"/>
          <w:sz w:val="20"/>
          <w:szCs w:val="20"/>
        </w:rPr>
      </w:pPr>
    </w:p>
    <w:tbl>
      <w:tblPr>
        <w:tblW w:w="9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340"/>
        <w:gridCol w:w="1340"/>
        <w:gridCol w:w="1340"/>
        <w:gridCol w:w="1340"/>
        <w:gridCol w:w="1340"/>
      </w:tblGrid>
      <w:tr w:rsidR="00D118CC" w:rsidRPr="00F37BA0" w14:paraId="07B81A65" w14:textId="77777777" w:rsidTr="00D118CC">
        <w:trPr>
          <w:trHeight w:val="320"/>
          <w:jc w:val="center"/>
        </w:trPr>
        <w:tc>
          <w:tcPr>
            <w:tcW w:w="91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14:paraId="3464525A" w14:textId="20F7D7E3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Broker Consulting Index podílových fondů</w:t>
            </w:r>
            <w:r w:rsidR="00A12A9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 – březen 2021</w:t>
            </w:r>
          </w:p>
        </w:tc>
      </w:tr>
      <w:tr w:rsidR="00D118CC" w:rsidRPr="00F37BA0" w14:paraId="7F285C6D" w14:textId="77777777" w:rsidTr="00D118CC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CD9440C" w14:textId="5DD47188" w:rsidR="00D118CC" w:rsidRPr="00F37BA0" w:rsidRDefault="00A12A99" w:rsidP="00A12A99">
            <w:pPr>
              <w:jc w:val="both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Typ fondů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6145267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1 měsíc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4AA35A7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YTD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0D90171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12 měsíců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019013F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36 měsíců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A51CCBE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60 měsíců </w:t>
            </w:r>
          </w:p>
        </w:tc>
      </w:tr>
      <w:tr w:rsidR="00D118CC" w:rsidRPr="00F37BA0" w14:paraId="632DB757" w14:textId="77777777" w:rsidTr="00D118CC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EC5C5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Akciové fondy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6004B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1,81%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5FC08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3,23%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2C759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48,26%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698B2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18,55%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CA5B3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44,84%</w:t>
            </w:r>
          </w:p>
        </w:tc>
      </w:tr>
      <w:tr w:rsidR="00D118CC" w:rsidRPr="00F37BA0" w14:paraId="4824741E" w14:textId="77777777" w:rsidTr="00D118CC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F7359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Dluhopisové fondy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90900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-1,12%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B45F3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-3,10%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76C58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2,24%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4497A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-0,32%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3C189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-4,47%</w:t>
            </w:r>
          </w:p>
        </w:tc>
      </w:tr>
      <w:tr w:rsidR="00D118CC" w:rsidRPr="00F37BA0" w14:paraId="456E22F8" w14:textId="77777777" w:rsidTr="00D118CC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78A73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Fondy peněžního trhu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738AB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-0,80%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5B843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-1,88%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AA866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0,61%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B2487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3,28%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50FDC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1,88%</w:t>
            </w:r>
          </w:p>
        </w:tc>
      </w:tr>
      <w:tr w:rsidR="00D118CC" w:rsidRPr="00F37BA0" w14:paraId="73165A14" w14:textId="77777777" w:rsidTr="00D118CC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058D7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Komoditní fondy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CF44B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-2,66%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49FF6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7,20%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97B7B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48,51%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2F2BA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-0,26%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6A9A1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13,66%</w:t>
            </w:r>
          </w:p>
        </w:tc>
      </w:tr>
      <w:tr w:rsidR="00D118CC" w:rsidRPr="00F37BA0" w14:paraId="49E7A2AE" w14:textId="77777777" w:rsidTr="00D118CC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AB43E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Nemovitostní fondy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1757B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-0,03%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4CA0C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0,82%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80A72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2,65%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59A52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11,82%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E0CA2" w14:textId="77777777" w:rsidR="00D118CC" w:rsidRPr="00F37BA0" w:rsidRDefault="00D118CC" w:rsidP="00A12A9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BA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19,77%</w:t>
            </w:r>
          </w:p>
        </w:tc>
      </w:tr>
    </w:tbl>
    <w:p w14:paraId="027F1003" w14:textId="5D4ED593" w:rsidR="00D118CC" w:rsidRPr="00D118CC" w:rsidRDefault="00D118CC" w:rsidP="00A12A99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25BD64F0" w14:textId="77777777" w:rsidR="009F2CEE" w:rsidRPr="00631E80" w:rsidRDefault="009F2CEE" w:rsidP="00A12A99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281386F8" w14:textId="77777777" w:rsidR="00E6319B" w:rsidRDefault="00E6319B" w:rsidP="00A12A99">
      <w:pPr>
        <w:jc w:val="both"/>
        <w:rPr>
          <w:rFonts w:ascii="Arial" w:hAnsi="Arial" w:cs="Arial"/>
          <w:b/>
          <w:sz w:val="18"/>
          <w:szCs w:val="16"/>
        </w:rPr>
      </w:pPr>
    </w:p>
    <w:p w14:paraId="0B188DD4" w14:textId="77777777" w:rsidR="00F63CCA" w:rsidRDefault="00F63CCA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02C0ACA0" w14:textId="58800B75" w:rsidR="00957DEA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</w:p>
    <w:p w14:paraId="618BBF76" w14:textId="16EC4FDE" w:rsidR="00E6319B" w:rsidRDefault="00E6319B" w:rsidP="00A12A99">
      <w:pPr>
        <w:jc w:val="both"/>
        <w:rPr>
          <w:rFonts w:ascii="Arial" w:hAnsi="Arial" w:cs="Arial"/>
          <w:i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webu </w:t>
      </w:r>
      <w:r w:rsidRPr="00957DEA">
        <w:rPr>
          <w:rStyle w:val="Hypertextovodkaz"/>
          <w:rFonts w:ascii="Arial" w:hAnsi="Arial" w:cs="Arial"/>
          <w:w w:val="105"/>
          <w:sz w:val="20"/>
          <w:szCs w:val="20"/>
        </w:rPr>
        <w:t>https://www.bcas.cz/onas/pro-media/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00D6F62C" w14:textId="1E85344A" w:rsidR="00833A44" w:rsidRPr="00957DEA" w:rsidRDefault="00833A44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438F3C29" w14:textId="77777777" w:rsidR="003805E6" w:rsidRPr="00957DEA" w:rsidRDefault="003805E6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4A1179D6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 xml:space="preserve">Proč je dobré index sledovat: </w:t>
      </w:r>
      <w:r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</w:p>
    <w:p w14:paraId="3B5F377C" w14:textId="77777777" w:rsidR="00D60D98" w:rsidRPr="00957DEA" w:rsidRDefault="00D60D98" w:rsidP="00A12A99">
      <w:pPr>
        <w:spacing w:after="225"/>
        <w:jc w:val="both"/>
        <w:rPr>
          <w:rFonts w:ascii="Arial" w:eastAsia="Calibri" w:hAnsi="Arial" w:cs="Arial"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>Specialistka PR a externí komunikace</w:t>
      </w:r>
    </w:p>
    <w:p w14:paraId="7F1C61B2" w14:textId="519D93DB" w:rsidR="008D397B" w:rsidRPr="00957DEA" w:rsidRDefault="008D397B" w:rsidP="00A12A99">
      <w:pPr>
        <w:jc w:val="both"/>
        <w:rPr>
          <w:rFonts w:ascii="Arial" w:eastAsia="Calibri" w:hAnsi="Arial" w:cs="Arial"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>Mobil: +420 731 537</w:t>
      </w:r>
      <w:r w:rsidR="00957DEA">
        <w:rPr>
          <w:rFonts w:ascii="Arial" w:eastAsia="Calibri" w:hAnsi="Arial" w:cs="Arial"/>
          <w:noProof/>
          <w:sz w:val="20"/>
          <w:szCs w:val="20"/>
        </w:rPr>
        <w:t> </w:t>
      </w:r>
      <w:r w:rsidRPr="00957DEA">
        <w:rPr>
          <w:rFonts w:ascii="Arial" w:eastAsia="Calibri" w:hAnsi="Arial" w:cs="Arial"/>
          <w:noProof/>
          <w:sz w:val="20"/>
          <w:szCs w:val="20"/>
        </w:rPr>
        <w:t>716</w:t>
      </w:r>
      <w:r w:rsidR="00957DEA">
        <w:rPr>
          <w:rFonts w:ascii="Arial" w:eastAsia="Calibri" w:hAnsi="Arial" w:cs="Arial"/>
          <w:noProof/>
          <w:sz w:val="20"/>
          <w:szCs w:val="20"/>
        </w:rPr>
        <w:t xml:space="preserve">, </w:t>
      </w:r>
      <w:r w:rsidRPr="00957DEA">
        <w:rPr>
          <w:rFonts w:ascii="Arial" w:eastAsia="Calibri" w:hAnsi="Arial" w:cs="Arial"/>
          <w:noProof/>
          <w:sz w:val="20"/>
          <w:szCs w:val="20"/>
        </w:rPr>
        <w:t xml:space="preserve">E-mail: </w:t>
      </w:r>
      <w:hyperlink r:id="rId25" w:history="1">
        <w:r w:rsidRPr="00957DEA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Pr="00957DEA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1FC2D4" w14:textId="77777777" w:rsidR="00592229" w:rsidRDefault="00592229">
      <w:r>
        <w:separator/>
      </w:r>
    </w:p>
  </w:endnote>
  <w:endnote w:type="continuationSeparator" w:id="0">
    <w:p w14:paraId="47E9B349" w14:textId="77777777" w:rsidR="00592229" w:rsidRDefault="00592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592229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BA1FA3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592229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BA1FA3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592229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BA1FA3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2E9C32" w14:textId="77777777" w:rsidR="00592229" w:rsidRDefault="00592229">
      <w:r>
        <w:separator/>
      </w:r>
    </w:p>
  </w:footnote>
  <w:footnote w:type="continuationSeparator" w:id="0">
    <w:p w14:paraId="3D034F03" w14:textId="77777777" w:rsidR="00592229" w:rsidRDefault="00592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566C8F" w:rsidR="00B65A3B" w:rsidRPr="00B65A3B" w:rsidRDefault="009F2CEE" w:rsidP="009F2C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611E3"/>
    <w:rsid w:val="000766E7"/>
    <w:rsid w:val="00081616"/>
    <w:rsid w:val="000853D4"/>
    <w:rsid w:val="0009776B"/>
    <w:rsid w:val="000B060E"/>
    <w:rsid w:val="000D14E2"/>
    <w:rsid w:val="000E3D86"/>
    <w:rsid w:val="000F6249"/>
    <w:rsid w:val="00111C28"/>
    <w:rsid w:val="001152A6"/>
    <w:rsid w:val="00122CD1"/>
    <w:rsid w:val="001253CC"/>
    <w:rsid w:val="0013044E"/>
    <w:rsid w:val="00131A69"/>
    <w:rsid w:val="00136D8D"/>
    <w:rsid w:val="00137003"/>
    <w:rsid w:val="0013717C"/>
    <w:rsid w:val="00145B8B"/>
    <w:rsid w:val="00156082"/>
    <w:rsid w:val="001675AF"/>
    <w:rsid w:val="0017084B"/>
    <w:rsid w:val="001767A5"/>
    <w:rsid w:val="00192716"/>
    <w:rsid w:val="001A54DD"/>
    <w:rsid w:val="001B501B"/>
    <w:rsid w:val="001D015A"/>
    <w:rsid w:val="001D3DFC"/>
    <w:rsid w:val="001E4209"/>
    <w:rsid w:val="001F7194"/>
    <w:rsid w:val="001F71BA"/>
    <w:rsid w:val="002141AF"/>
    <w:rsid w:val="002368F3"/>
    <w:rsid w:val="00241313"/>
    <w:rsid w:val="0025264B"/>
    <w:rsid w:val="0025428A"/>
    <w:rsid w:val="00270DB3"/>
    <w:rsid w:val="00276C57"/>
    <w:rsid w:val="002A5439"/>
    <w:rsid w:val="002D539D"/>
    <w:rsid w:val="002F002B"/>
    <w:rsid w:val="002F3074"/>
    <w:rsid w:val="002F485A"/>
    <w:rsid w:val="002F7EC2"/>
    <w:rsid w:val="00307E95"/>
    <w:rsid w:val="003128F8"/>
    <w:rsid w:val="003247B0"/>
    <w:rsid w:val="00330918"/>
    <w:rsid w:val="003326F9"/>
    <w:rsid w:val="00334048"/>
    <w:rsid w:val="00342F85"/>
    <w:rsid w:val="00347557"/>
    <w:rsid w:val="00352515"/>
    <w:rsid w:val="00355366"/>
    <w:rsid w:val="003629B6"/>
    <w:rsid w:val="003721AD"/>
    <w:rsid w:val="003805E6"/>
    <w:rsid w:val="00383DC5"/>
    <w:rsid w:val="00385EED"/>
    <w:rsid w:val="00390B58"/>
    <w:rsid w:val="003A6435"/>
    <w:rsid w:val="003B0E4F"/>
    <w:rsid w:val="003C0CBE"/>
    <w:rsid w:val="003D1987"/>
    <w:rsid w:val="003F79EC"/>
    <w:rsid w:val="004148AB"/>
    <w:rsid w:val="00421847"/>
    <w:rsid w:val="0042193A"/>
    <w:rsid w:val="00445D0A"/>
    <w:rsid w:val="00454843"/>
    <w:rsid w:val="004627B9"/>
    <w:rsid w:val="004766EC"/>
    <w:rsid w:val="004B5797"/>
    <w:rsid w:val="004C3F71"/>
    <w:rsid w:val="004C7DDE"/>
    <w:rsid w:val="004E7AEB"/>
    <w:rsid w:val="004E7E0B"/>
    <w:rsid w:val="0050659B"/>
    <w:rsid w:val="00512B46"/>
    <w:rsid w:val="005153F7"/>
    <w:rsid w:val="005218FE"/>
    <w:rsid w:val="005224C1"/>
    <w:rsid w:val="0053153F"/>
    <w:rsid w:val="00536954"/>
    <w:rsid w:val="00540606"/>
    <w:rsid w:val="00541870"/>
    <w:rsid w:val="005436EC"/>
    <w:rsid w:val="00544A37"/>
    <w:rsid w:val="0055263D"/>
    <w:rsid w:val="005663AE"/>
    <w:rsid w:val="00576F53"/>
    <w:rsid w:val="00577D19"/>
    <w:rsid w:val="00592229"/>
    <w:rsid w:val="005A37E5"/>
    <w:rsid w:val="005A481B"/>
    <w:rsid w:val="005A5BBA"/>
    <w:rsid w:val="005A5F08"/>
    <w:rsid w:val="005B31D7"/>
    <w:rsid w:val="005E51C5"/>
    <w:rsid w:val="005E7952"/>
    <w:rsid w:val="005F7090"/>
    <w:rsid w:val="00603538"/>
    <w:rsid w:val="0061253F"/>
    <w:rsid w:val="006135FD"/>
    <w:rsid w:val="0062747C"/>
    <w:rsid w:val="006307A5"/>
    <w:rsid w:val="00630C84"/>
    <w:rsid w:val="00631E80"/>
    <w:rsid w:val="00637BCA"/>
    <w:rsid w:val="0064160C"/>
    <w:rsid w:val="0066135D"/>
    <w:rsid w:val="00667012"/>
    <w:rsid w:val="00670237"/>
    <w:rsid w:val="006768F0"/>
    <w:rsid w:val="00677078"/>
    <w:rsid w:val="0068195B"/>
    <w:rsid w:val="00683626"/>
    <w:rsid w:val="0068617E"/>
    <w:rsid w:val="00686364"/>
    <w:rsid w:val="006939E4"/>
    <w:rsid w:val="006A2F6C"/>
    <w:rsid w:val="006A3BE2"/>
    <w:rsid w:val="006C61E8"/>
    <w:rsid w:val="006D65EC"/>
    <w:rsid w:val="006E26DC"/>
    <w:rsid w:val="006F052D"/>
    <w:rsid w:val="006F32FB"/>
    <w:rsid w:val="00705D83"/>
    <w:rsid w:val="0072112F"/>
    <w:rsid w:val="00757D8B"/>
    <w:rsid w:val="00761D9B"/>
    <w:rsid w:val="00771B91"/>
    <w:rsid w:val="007824F4"/>
    <w:rsid w:val="00784109"/>
    <w:rsid w:val="00785FC5"/>
    <w:rsid w:val="0078631B"/>
    <w:rsid w:val="00786BA5"/>
    <w:rsid w:val="00791A2B"/>
    <w:rsid w:val="00792EE9"/>
    <w:rsid w:val="0079572A"/>
    <w:rsid w:val="007A1121"/>
    <w:rsid w:val="007A1122"/>
    <w:rsid w:val="007A15A6"/>
    <w:rsid w:val="007A5987"/>
    <w:rsid w:val="007B232E"/>
    <w:rsid w:val="007B358E"/>
    <w:rsid w:val="007E1FBA"/>
    <w:rsid w:val="007E5614"/>
    <w:rsid w:val="008005EB"/>
    <w:rsid w:val="00812E77"/>
    <w:rsid w:val="0081387C"/>
    <w:rsid w:val="00821B36"/>
    <w:rsid w:val="0083053E"/>
    <w:rsid w:val="00831B5E"/>
    <w:rsid w:val="00833A44"/>
    <w:rsid w:val="0084178F"/>
    <w:rsid w:val="00845A34"/>
    <w:rsid w:val="00851C45"/>
    <w:rsid w:val="00883A3E"/>
    <w:rsid w:val="00885B2F"/>
    <w:rsid w:val="00890117"/>
    <w:rsid w:val="008926E5"/>
    <w:rsid w:val="008926F3"/>
    <w:rsid w:val="00893577"/>
    <w:rsid w:val="008A04D3"/>
    <w:rsid w:val="008C1795"/>
    <w:rsid w:val="008C4B0D"/>
    <w:rsid w:val="008C6335"/>
    <w:rsid w:val="008D397B"/>
    <w:rsid w:val="008E19F3"/>
    <w:rsid w:val="008F6AAF"/>
    <w:rsid w:val="00906176"/>
    <w:rsid w:val="00906E67"/>
    <w:rsid w:val="00915ADA"/>
    <w:rsid w:val="009222C9"/>
    <w:rsid w:val="00932625"/>
    <w:rsid w:val="009344C2"/>
    <w:rsid w:val="00941B52"/>
    <w:rsid w:val="0094705C"/>
    <w:rsid w:val="00957B41"/>
    <w:rsid w:val="00957DEA"/>
    <w:rsid w:val="00982987"/>
    <w:rsid w:val="009A69B1"/>
    <w:rsid w:val="009C0ECA"/>
    <w:rsid w:val="009C0F81"/>
    <w:rsid w:val="009C45BA"/>
    <w:rsid w:val="009D68F9"/>
    <w:rsid w:val="009E317D"/>
    <w:rsid w:val="009E3B52"/>
    <w:rsid w:val="009F2CB2"/>
    <w:rsid w:val="009F2CEE"/>
    <w:rsid w:val="009F59EE"/>
    <w:rsid w:val="00A069E2"/>
    <w:rsid w:val="00A11C90"/>
    <w:rsid w:val="00A12A99"/>
    <w:rsid w:val="00A36D79"/>
    <w:rsid w:val="00A4618A"/>
    <w:rsid w:val="00A77932"/>
    <w:rsid w:val="00A7796E"/>
    <w:rsid w:val="00AA218A"/>
    <w:rsid w:val="00AC614D"/>
    <w:rsid w:val="00AE548F"/>
    <w:rsid w:val="00B0678D"/>
    <w:rsid w:val="00B11974"/>
    <w:rsid w:val="00B12CF8"/>
    <w:rsid w:val="00B15519"/>
    <w:rsid w:val="00B244B9"/>
    <w:rsid w:val="00B27178"/>
    <w:rsid w:val="00B41CE5"/>
    <w:rsid w:val="00B43ABC"/>
    <w:rsid w:val="00B51125"/>
    <w:rsid w:val="00B52CDF"/>
    <w:rsid w:val="00B65A3B"/>
    <w:rsid w:val="00B80A35"/>
    <w:rsid w:val="00B90112"/>
    <w:rsid w:val="00B95BB2"/>
    <w:rsid w:val="00B95EBA"/>
    <w:rsid w:val="00BA1FA3"/>
    <w:rsid w:val="00BA23D8"/>
    <w:rsid w:val="00BB4D49"/>
    <w:rsid w:val="00BB6439"/>
    <w:rsid w:val="00BB675F"/>
    <w:rsid w:val="00BD17B0"/>
    <w:rsid w:val="00BD5A47"/>
    <w:rsid w:val="00BF4A15"/>
    <w:rsid w:val="00BF7A45"/>
    <w:rsid w:val="00C23E32"/>
    <w:rsid w:val="00C31207"/>
    <w:rsid w:val="00C42FAF"/>
    <w:rsid w:val="00C60B08"/>
    <w:rsid w:val="00C864DC"/>
    <w:rsid w:val="00C878E5"/>
    <w:rsid w:val="00CA1722"/>
    <w:rsid w:val="00CA4711"/>
    <w:rsid w:val="00CB18B1"/>
    <w:rsid w:val="00CB2780"/>
    <w:rsid w:val="00CB38CA"/>
    <w:rsid w:val="00CB6F2B"/>
    <w:rsid w:val="00CC1067"/>
    <w:rsid w:val="00CD3324"/>
    <w:rsid w:val="00CE6C6E"/>
    <w:rsid w:val="00D01832"/>
    <w:rsid w:val="00D118CC"/>
    <w:rsid w:val="00D21C96"/>
    <w:rsid w:val="00D30854"/>
    <w:rsid w:val="00D31127"/>
    <w:rsid w:val="00D50703"/>
    <w:rsid w:val="00D60D98"/>
    <w:rsid w:val="00D76C6E"/>
    <w:rsid w:val="00D80B6D"/>
    <w:rsid w:val="00D8513A"/>
    <w:rsid w:val="00D85BBB"/>
    <w:rsid w:val="00D94CEA"/>
    <w:rsid w:val="00D9690A"/>
    <w:rsid w:val="00DA7B87"/>
    <w:rsid w:val="00DB63D9"/>
    <w:rsid w:val="00DB7E77"/>
    <w:rsid w:val="00DC30D0"/>
    <w:rsid w:val="00DE5847"/>
    <w:rsid w:val="00E00DC6"/>
    <w:rsid w:val="00E058A3"/>
    <w:rsid w:val="00E151F3"/>
    <w:rsid w:val="00E15A82"/>
    <w:rsid w:val="00E17539"/>
    <w:rsid w:val="00E57F9B"/>
    <w:rsid w:val="00E6319B"/>
    <w:rsid w:val="00E6726D"/>
    <w:rsid w:val="00E81433"/>
    <w:rsid w:val="00E81C95"/>
    <w:rsid w:val="00E852A3"/>
    <w:rsid w:val="00E92A9E"/>
    <w:rsid w:val="00EA0C1C"/>
    <w:rsid w:val="00EA477A"/>
    <w:rsid w:val="00EC7F0E"/>
    <w:rsid w:val="00ED2D1F"/>
    <w:rsid w:val="00ED58E9"/>
    <w:rsid w:val="00ED79D6"/>
    <w:rsid w:val="00EE1831"/>
    <w:rsid w:val="00EF2F7C"/>
    <w:rsid w:val="00F00576"/>
    <w:rsid w:val="00F1156B"/>
    <w:rsid w:val="00F14982"/>
    <w:rsid w:val="00F17CF8"/>
    <w:rsid w:val="00F2598D"/>
    <w:rsid w:val="00F336A2"/>
    <w:rsid w:val="00F44AEB"/>
    <w:rsid w:val="00F45620"/>
    <w:rsid w:val="00F5470D"/>
    <w:rsid w:val="00F63CCA"/>
    <w:rsid w:val="00F852D9"/>
    <w:rsid w:val="00F87177"/>
    <w:rsid w:val="00F9173C"/>
    <w:rsid w:val="00FB18D0"/>
    <w:rsid w:val="00FB2ED6"/>
    <w:rsid w:val="00FC2522"/>
    <w:rsid w:val="00FC31B6"/>
    <w:rsid w:val="00FC5B56"/>
    <w:rsid w:val="00FD4B12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27F2D-6E27-4324-B8D9-68F4EEBAD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3</Pages>
  <Words>992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 Baštýřová</dc:creator>
  <cp:lastModifiedBy>Tereza Kunová</cp:lastModifiedBy>
  <cp:revision>45</cp:revision>
  <dcterms:created xsi:type="dcterms:W3CDTF">2021-02-10T14:43:00Z</dcterms:created>
  <dcterms:modified xsi:type="dcterms:W3CDTF">2021-04-08T07:53:00Z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