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B54F5" w14:textId="2147240E" w:rsidR="00D23669" w:rsidRDefault="00D23669">
      <w:r>
        <w:t xml:space="preserve"> </w:t>
      </w:r>
    </w:p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19D05CF8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F040CA">
            <w:rPr>
              <w:rFonts w:ascii="Arial" w:hAnsi="Arial" w:cs="Arial"/>
              <w:color w:val="1D1D1B"/>
              <w:sz w:val="24"/>
            </w:rPr>
            <w:t>INDEX PODÍLOVÝCH FONDŮ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67DAC181" w14:textId="77777777" w:rsidR="00F040CA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E70E6BF" w14:textId="5B58B527" w:rsidR="00D80B6D" w:rsidRPr="00F040CA" w:rsidRDefault="00B52B36" w:rsidP="00D80B6D">
          <w:pPr>
            <w:spacing w:before="230"/>
            <w:ind w:left="165"/>
            <w:jc w:val="center"/>
            <w:rPr>
              <w:rFonts w:ascii="Arial" w:hAnsi="Arial" w:cs="Arial"/>
              <w:b/>
              <w:color w:val="1D1D1B"/>
              <w:sz w:val="24"/>
            </w:rPr>
          </w:pPr>
          <w:r>
            <w:rPr>
              <w:rFonts w:ascii="Arial" w:hAnsi="Arial" w:cs="Arial"/>
              <w:b/>
              <w:color w:val="1D1D1B"/>
              <w:sz w:val="24"/>
            </w:rPr>
            <w:t>POV</w:t>
          </w:r>
          <w:r w:rsidR="00D80B6D" w:rsidRPr="00F040CA">
            <w:rPr>
              <w:rFonts w:ascii="Arial" w:hAnsi="Arial" w:cs="Arial"/>
              <w:b/>
              <w:color w:val="1D1D1B"/>
              <w:sz w:val="24"/>
            </w:rPr>
            <w:t xml:space="preserve">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2FCFB564" w14:textId="40100E02" w:rsidR="00D80B6D" w:rsidRPr="009362DC" w:rsidRDefault="009362DC" w:rsidP="009362DC">
          <w:pPr>
            <w:jc w:val="both"/>
            <w:rPr>
              <w:rFonts w:ascii="Arial" w:hAnsi="Arial" w:cs="Arial"/>
              <w:sz w:val="18"/>
              <w:szCs w:val="18"/>
              <w:lang w:val="de-DE"/>
            </w:rPr>
          </w:pPr>
          <w:r w:rsidRPr="00BB48AE">
            <w:rPr>
              <w:rFonts w:ascii="Arial" w:hAnsi="Arial" w:cs="Arial"/>
              <w:sz w:val="18"/>
            </w:rPr>
            <w:t>Broker Consulting je jednou z největších společností na českém a slovenském trhu</w:t>
          </w:r>
          <w:r>
            <w:rPr>
              <w:rFonts w:ascii="Arial" w:hAnsi="Arial" w:cs="Arial"/>
              <w:sz w:val="18"/>
            </w:rPr>
            <w:t>, která poskytuje služby</w:t>
          </w:r>
          <w:r w:rsidRPr="00BB48AE">
            <w:rPr>
              <w:rFonts w:ascii="Arial" w:hAnsi="Arial" w:cs="Arial"/>
              <w:sz w:val="18"/>
            </w:rPr>
            <w:t xml:space="preserve"> v oblasti financí a realit. Od roku 1998 získala důvěru více než 600 000 klientů. Poskytuje také služby přes 4 000 firmám</w:t>
          </w:r>
          <w:r>
            <w:rPr>
              <w:rFonts w:ascii="Arial" w:hAnsi="Arial" w:cs="Arial"/>
              <w:sz w:val="18"/>
            </w:rPr>
            <w:t>. Distribuci služeb zajišťuje p</w:t>
          </w:r>
          <w:r w:rsidRPr="00BB48AE">
            <w:rPr>
              <w:rFonts w:ascii="Arial" w:hAnsi="Arial" w:cs="Arial"/>
              <w:sz w:val="18"/>
            </w:rPr>
            <w:t xml:space="preserve">řibližně </w:t>
          </w:r>
          <w:r>
            <w:rPr>
              <w:rFonts w:ascii="Arial" w:hAnsi="Arial" w:cs="Arial"/>
              <w:sz w:val="18"/>
            </w:rPr>
            <w:t>2 000</w:t>
          </w:r>
          <w:r w:rsidRPr="00BB48AE">
            <w:rPr>
              <w:rFonts w:ascii="Arial" w:hAnsi="Arial" w:cs="Arial"/>
              <w:sz w:val="18"/>
            </w:rPr>
            <w:t xml:space="preserve"> konzultantů </w:t>
          </w:r>
          <w:r>
            <w:rPr>
              <w:rFonts w:ascii="Arial" w:hAnsi="Arial" w:cs="Arial"/>
              <w:sz w:val="18"/>
            </w:rPr>
            <w:t xml:space="preserve">(profesionální konzultanti, zaměstnanci, konzultanti v zapracování v ČR i SR) </w:t>
          </w:r>
          <w:r w:rsidRPr="00BB48AE">
            <w:rPr>
              <w:rFonts w:ascii="Arial" w:hAnsi="Arial" w:cs="Arial"/>
              <w:sz w:val="18"/>
            </w:rPr>
            <w:t>ve více než 100 kancelářích</w:t>
          </w:r>
          <w:r>
            <w:rPr>
              <w:rFonts w:ascii="Arial" w:hAnsi="Arial" w:cs="Arial"/>
              <w:sz w:val="18"/>
            </w:rPr>
            <w:t xml:space="preserve"> a téměř 50 franšízových pobočkách OK POINT</w:t>
          </w:r>
          <w:r w:rsidRPr="00BB48AE">
            <w:rPr>
              <w:rFonts w:ascii="Arial" w:hAnsi="Arial" w:cs="Arial"/>
              <w:sz w:val="18"/>
            </w:rPr>
            <w:t xml:space="preserve">. Společnost </w:t>
          </w:r>
          <w:r>
            <w:rPr>
              <w:rFonts w:ascii="Arial" w:hAnsi="Arial" w:cs="Arial"/>
              <w:sz w:val="18"/>
            </w:rPr>
            <w:t>uvedla</w:t>
          </w:r>
          <w:r w:rsidRPr="00BB48AE">
            <w:rPr>
              <w:rFonts w:ascii="Arial" w:hAnsi="Arial" w:cs="Arial"/>
              <w:sz w:val="18"/>
            </w:rPr>
            <w:t xml:space="preserve">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www.bcas.cz</w:t>
            </w:r>
          </w:hyperlink>
          <w:r w:rsidRPr="00BB48AE">
            <w:rPr>
              <w:rStyle w:val="Hypertextovodkaz"/>
              <w:rFonts w:ascii="Arial" w:hAnsi="Arial" w:cs="Arial"/>
              <w:sz w:val="18"/>
              <w:szCs w:val="18"/>
            </w:rPr>
            <w:t xml:space="preserve">, </w:t>
          </w:r>
          <w:hyperlink r:id="rId10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www.okpointy.cz</w:t>
            </w:r>
          </w:hyperlink>
          <w:r w:rsidR="00AA1EF9"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, www.okpoint.tv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1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www.realityspolu.cz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  <w:r w:rsidRPr="009362DC">
            <w:rPr>
              <w:rStyle w:val="dn"/>
              <w:rFonts w:ascii="Arial" w:hAnsi="Arial" w:cs="Arial"/>
              <w:sz w:val="18"/>
              <w:szCs w:val="18"/>
              <w:lang w:val="cs-CZ"/>
            </w:rPr>
            <w:t>Navštivte také náš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2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3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LinkedIN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4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5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</w:t>
            </w:r>
          </w:hyperlink>
          <w:r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N</w:t>
          </w:r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  <w:r w:rsidR="00D80B6D"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C85AB7">
              <w:headerReference w:type="default" r:id="rId16"/>
              <w:footerReference w:type="default" r:id="rId17"/>
              <w:pgSz w:w="11910" w:h="16840"/>
              <w:pgMar w:top="960" w:right="711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C805EF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8"/>
              <w:headerReference w:type="default" r:id="rId19"/>
              <w:footerReference w:type="even" r:id="rId20"/>
              <w:footerReference w:type="default" r:id="rId21"/>
              <w:headerReference w:type="first" r:id="rId22"/>
              <w:footerReference w:type="first" r:id="rId23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9C2CD87" w14:textId="77777777" w:rsidR="00DA576C" w:rsidRDefault="00DA576C" w:rsidP="00673898">
      <w:pPr>
        <w:jc w:val="center"/>
        <w:rPr>
          <w:rFonts w:ascii="Arial" w:hAnsi="Arial" w:cs="Arial"/>
          <w:b/>
          <w:sz w:val="32"/>
          <w:szCs w:val="32"/>
        </w:rPr>
      </w:pPr>
    </w:p>
    <w:p w14:paraId="5A0592DB" w14:textId="429BA476" w:rsidR="00A672EA" w:rsidRPr="00673898" w:rsidRDefault="0041224F" w:rsidP="00673898">
      <w:pPr>
        <w:jc w:val="center"/>
        <w:rPr>
          <w:rFonts w:ascii="Arial" w:hAnsi="Arial" w:cs="Arial"/>
          <w:b/>
          <w:sz w:val="32"/>
          <w:szCs w:val="32"/>
        </w:rPr>
      </w:pPr>
      <w:r w:rsidRPr="00673898">
        <w:rPr>
          <w:rFonts w:ascii="Arial" w:hAnsi="Arial" w:cs="Arial"/>
          <w:b/>
          <w:sz w:val="32"/>
          <w:szCs w:val="32"/>
        </w:rPr>
        <w:t>POVIndex:</w:t>
      </w:r>
      <w:r w:rsidR="003A7C59" w:rsidRPr="00673898">
        <w:rPr>
          <w:rFonts w:ascii="Arial" w:hAnsi="Arial" w:cs="Arial"/>
          <w:b/>
          <w:sz w:val="32"/>
          <w:szCs w:val="32"/>
        </w:rPr>
        <w:t xml:space="preserve"> </w:t>
      </w:r>
      <w:r w:rsidR="00B21D7F">
        <w:rPr>
          <w:rFonts w:ascii="Arial" w:hAnsi="Arial" w:cs="Arial"/>
          <w:b/>
          <w:sz w:val="32"/>
          <w:szCs w:val="32"/>
        </w:rPr>
        <w:t>V únoru se ceny povinného ručení mírně zvedly, nadále však zůstává velký rozdíl mezi Prahou a menšími městy</w:t>
      </w:r>
    </w:p>
    <w:p w14:paraId="6DC31EB0" w14:textId="5446F0EC" w:rsidR="00DB365A" w:rsidRPr="00B777C3" w:rsidRDefault="00DB365A" w:rsidP="00F37E08">
      <w:pPr>
        <w:rPr>
          <w:rFonts w:ascii="Arial" w:hAnsi="Arial" w:cs="Arial"/>
          <w:b/>
          <w:sz w:val="20"/>
          <w:szCs w:val="20"/>
        </w:rPr>
      </w:pPr>
    </w:p>
    <w:p w14:paraId="03A3768B" w14:textId="77777777" w:rsidR="00C306CA" w:rsidRDefault="00C306CA" w:rsidP="00AA1EF9">
      <w:pPr>
        <w:jc w:val="both"/>
        <w:rPr>
          <w:rFonts w:ascii="Arial" w:hAnsi="Arial" w:cs="Arial"/>
          <w:sz w:val="20"/>
          <w:szCs w:val="20"/>
        </w:rPr>
      </w:pPr>
    </w:p>
    <w:p w14:paraId="7095B5C0" w14:textId="10D501AE" w:rsidR="00AA1EF9" w:rsidRPr="007255CD" w:rsidRDefault="00F52462" w:rsidP="00C85AB7">
      <w:pPr>
        <w:ind w:right="13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Praha, </w:t>
      </w:r>
      <w:r w:rsidR="00AB253A">
        <w:rPr>
          <w:rFonts w:ascii="Arial" w:hAnsi="Arial" w:cs="Arial"/>
          <w:i/>
          <w:sz w:val="20"/>
          <w:szCs w:val="20"/>
        </w:rPr>
        <w:t>23</w:t>
      </w:r>
      <w:r w:rsidR="008C3AC7" w:rsidRPr="006863D8">
        <w:rPr>
          <w:rFonts w:ascii="Arial" w:hAnsi="Arial" w:cs="Arial"/>
          <w:i/>
          <w:sz w:val="20"/>
          <w:szCs w:val="20"/>
        </w:rPr>
        <w:t xml:space="preserve">. </w:t>
      </w:r>
      <w:r w:rsidRPr="006863D8">
        <w:rPr>
          <w:rFonts w:ascii="Arial" w:hAnsi="Arial" w:cs="Arial"/>
          <w:i/>
          <w:sz w:val="20"/>
          <w:szCs w:val="20"/>
        </w:rPr>
        <w:t>března</w:t>
      </w:r>
      <w:r w:rsidR="008C3AC7" w:rsidRPr="006863D8">
        <w:rPr>
          <w:rFonts w:ascii="Arial" w:hAnsi="Arial" w:cs="Arial"/>
          <w:i/>
          <w:sz w:val="20"/>
          <w:szCs w:val="20"/>
        </w:rPr>
        <w:t xml:space="preserve"> 2021</w:t>
      </w:r>
      <w:r w:rsidR="008C3AC7" w:rsidRPr="006863D8">
        <w:rPr>
          <w:rFonts w:ascii="Arial" w:hAnsi="Arial" w:cs="Arial"/>
          <w:b/>
          <w:i/>
          <w:sz w:val="20"/>
          <w:szCs w:val="20"/>
        </w:rPr>
        <w:t xml:space="preserve"> </w:t>
      </w:r>
      <w:r w:rsidR="00DA576C" w:rsidRPr="006863D8">
        <w:rPr>
          <w:rFonts w:ascii="Arial" w:hAnsi="Arial" w:cs="Arial"/>
          <w:i/>
          <w:sz w:val="20"/>
          <w:szCs w:val="20"/>
        </w:rPr>
        <w:t>–</w:t>
      </w:r>
      <w:r w:rsidR="00DA576C" w:rsidRPr="006863D8">
        <w:rPr>
          <w:rFonts w:ascii="Arial" w:hAnsi="Arial" w:cs="Arial"/>
          <w:b/>
          <w:sz w:val="20"/>
          <w:szCs w:val="20"/>
        </w:rPr>
        <w:t xml:space="preserve"> 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Hodnota </w:t>
      </w:r>
      <w:r w:rsidR="00141303" w:rsidRPr="006863D8">
        <w:rPr>
          <w:rFonts w:ascii="Arial" w:hAnsi="Arial" w:cs="Arial"/>
          <w:b/>
          <w:sz w:val="20"/>
          <w:szCs w:val="20"/>
        </w:rPr>
        <w:t>únorového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 Broker Consulting POVIndexu činila 6 6</w:t>
      </w:r>
      <w:r w:rsidR="00141303" w:rsidRPr="006863D8">
        <w:rPr>
          <w:rFonts w:ascii="Arial" w:hAnsi="Arial" w:cs="Arial"/>
          <w:b/>
          <w:sz w:val="20"/>
          <w:szCs w:val="20"/>
        </w:rPr>
        <w:t>82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 Kč</w:t>
      </w:r>
      <w:r w:rsidR="00D82E2D">
        <w:rPr>
          <w:rFonts w:ascii="Arial" w:hAnsi="Arial" w:cs="Arial"/>
          <w:b/>
          <w:sz w:val="20"/>
          <w:szCs w:val="20"/>
        </w:rPr>
        <w:t xml:space="preserve">, </w:t>
      </w:r>
      <w:r w:rsidR="000866C0" w:rsidRPr="006863D8">
        <w:rPr>
          <w:rFonts w:ascii="Arial" w:hAnsi="Arial" w:cs="Arial"/>
          <w:b/>
          <w:sz w:val="20"/>
          <w:szCs w:val="20"/>
        </w:rPr>
        <w:t>v porovnání s lednem tak vzrostla</w:t>
      </w:r>
      <w:bookmarkStart w:id="0" w:name="_GoBack"/>
      <w:bookmarkEnd w:id="0"/>
      <w:r w:rsidR="00141303" w:rsidRPr="006863D8">
        <w:rPr>
          <w:rFonts w:ascii="Arial" w:hAnsi="Arial" w:cs="Arial"/>
          <w:b/>
          <w:sz w:val="20"/>
          <w:szCs w:val="20"/>
        </w:rPr>
        <w:t xml:space="preserve"> o 6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2 Kč. </w:t>
      </w:r>
      <w:r w:rsidR="000866C0" w:rsidRPr="006863D8">
        <w:rPr>
          <w:rFonts w:ascii="Arial" w:hAnsi="Arial" w:cs="Arial"/>
          <w:b/>
          <w:sz w:val="20"/>
          <w:szCs w:val="20"/>
        </w:rPr>
        <w:t xml:space="preserve">Tento mírný nárůst je dán zvýšením ročního pojistného u odpovědnosti z provozu vozidel v hlavním městě, ke kterému se rozhodlo přistoupit </w:t>
      </w:r>
      <w:r w:rsidR="00CB432F">
        <w:rPr>
          <w:rFonts w:ascii="Arial" w:hAnsi="Arial" w:cs="Arial"/>
          <w:b/>
          <w:sz w:val="20"/>
          <w:szCs w:val="20"/>
        </w:rPr>
        <w:t xml:space="preserve">hned </w:t>
      </w:r>
      <w:r w:rsidR="000866C0" w:rsidRPr="006863D8">
        <w:rPr>
          <w:rFonts w:ascii="Arial" w:hAnsi="Arial" w:cs="Arial"/>
          <w:b/>
          <w:sz w:val="20"/>
          <w:szCs w:val="20"/>
        </w:rPr>
        <w:t xml:space="preserve">několik pojišťoven. </w:t>
      </w:r>
      <w:r w:rsidR="006863D8" w:rsidRPr="006863D8">
        <w:rPr>
          <w:rFonts w:ascii="Arial" w:hAnsi="Arial" w:cs="Arial"/>
          <w:b/>
          <w:sz w:val="20"/>
          <w:szCs w:val="20"/>
        </w:rPr>
        <w:t xml:space="preserve">I přes </w:t>
      </w:r>
      <w:r w:rsidR="00CB432F">
        <w:rPr>
          <w:rFonts w:ascii="Arial" w:hAnsi="Arial" w:cs="Arial"/>
          <w:b/>
          <w:sz w:val="20"/>
          <w:szCs w:val="20"/>
        </w:rPr>
        <w:t>drobný ná</w:t>
      </w:r>
      <w:r w:rsidR="00D82E2D">
        <w:rPr>
          <w:rFonts w:ascii="Arial" w:hAnsi="Arial" w:cs="Arial"/>
          <w:b/>
          <w:sz w:val="20"/>
          <w:szCs w:val="20"/>
        </w:rPr>
        <w:t>růst</w:t>
      </w:r>
      <w:r w:rsidR="006863D8" w:rsidRPr="006863D8">
        <w:rPr>
          <w:rFonts w:ascii="Arial" w:hAnsi="Arial" w:cs="Arial"/>
          <w:b/>
          <w:sz w:val="20"/>
          <w:szCs w:val="20"/>
        </w:rPr>
        <w:t xml:space="preserve"> zůstává </w:t>
      </w:r>
      <w:r w:rsidR="006863D8">
        <w:rPr>
          <w:rFonts w:ascii="Arial" w:hAnsi="Arial" w:cs="Arial"/>
          <w:b/>
          <w:sz w:val="20"/>
          <w:szCs w:val="20"/>
        </w:rPr>
        <w:t xml:space="preserve">únorová </w:t>
      </w:r>
      <w:r w:rsidR="006863D8" w:rsidRPr="006863D8">
        <w:rPr>
          <w:rFonts w:ascii="Arial" w:hAnsi="Arial" w:cs="Arial"/>
          <w:b/>
          <w:sz w:val="20"/>
          <w:szCs w:val="20"/>
        </w:rPr>
        <w:t xml:space="preserve">hodnota nadále </w:t>
      </w:r>
      <w:r w:rsidR="00D82E2D">
        <w:rPr>
          <w:rFonts w:ascii="Arial" w:hAnsi="Arial" w:cs="Arial"/>
          <w:b/>
          <w:sz w:val="20"/>
          <w:szCs w:val="20"/>
        </w:rPr>
        <w:t xml:space="preserve">výrazně </w:t>
      </w:r>
      <w:r w:rsidR="006863D8" w:rsidRPr="006863D8">
        <w:rPr>
          <w:rFonts w:ascii="Arial" w:hAnsi="Arial" w:cs="Arial"/>
          <w:b/>
          <w:sz w:val="20"/>
          <w:szCs w:val="20"/>
        </w:rPr>
        <w:t xml:space="preserve">pod úrovní dlouhodobé průměrné hodnoty POVIndexu, která činí </w:t>
      </w:r>
      <w:r w:rsidR="008672D5" w:rsidRPr="006863D8">
        <w:rPr>
          <w:rFonts w:ascii="Arial" w:hAnsi="Arial" w:cs="Arial"/>
          <w:b/>
          <w:sz w:val="20"/>
          <w:szCs w:val="20"/>
        </w:rPr>
        <w:t>6 919 Kč.</w:t>
      </w:r>
      <w:r w:rsidR="00467207" w:rsidRPr="006863D8">
        <w:rPr>
          <w:rFonts w:ascii="Arial" w:hAnsi="Arial" w:cs="Arial"/>
          <w:b/>
          <w:sz w:val="20"/>
          <w:szCs w:val="20"/>
        </w:rPr>
        <w:t xml:space="preserve"> </w:t>
      </w:r>
      <w:r w:rsidR="00E57D1A" w:rsidRPr="006863D8">
        <w:rPr>
          <w:rFonts w:ascii="Arial" w:hAnsi="Arial" w:cs="Arial"/>
          <w:b/>
          <w:sz w:val="20"/>
          <w:szCs w:val="20"/>
        </w:rPr>
        <w:t xml:space="preserve">Za </w:t>
      </w:r>
      <w:r w:rsidR="00467207" w:rsidRPr="006863D8">
        <w:rPr>
          <w:rFonts w:ascii="Arial" w:hAnsi="Arial" w:cs="Arial"/>
          <w:b/>
          <w:sz w:val="20"/>
          <w:szCs w:val="20"/>
        </w:rPr>
        <w:t>výše uvedených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 6 6</w:t>
      </w:r>
      <w:r w:rsidR="00C00860" w:rsidRPr="006863D8">
        <w:rPr>
          <w:rFonts w:ascii="Arial" w:hAnsi="Arial" w:cs="Arial"/>
          <w:b/>
          <w:sz w:val="20"/>
          <w:szCs w:val="20"/>
        </w:rPr>
        <w:t>82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 Kč bylo </w:t>
      </w:r>
      <w:r w:rsidR="008C3AC7" w:rsidRPr="006863D8">
        <w:rPr>
          <w:rFonts w:ascii="Arial" w:hAnsi="Arial" w:cs="Arial"/>
          <w:b/>
          <w:sz w:val="20"/>
          <w:szCs w:val="20"/>
        </w:rPr>
        <w:t>v </w:t>
      </w:r>
      <w:r w:rsidR="00C00860" w:rsidRPr="006863D8">
        <w:rPr>
          <w:rFonts w:ascii="Arial" w:hAnsi="Arial" w:cs="Arial"/>
          <w:b/>
          <w:sz w:val="20"/>
          <w:szCs w:val="20"/>
        </w:rPr>
        <w:t>únoru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</w:t>
      </w:r>
      <w:r w:rsidR="00AA1EF9" w:rsidRPr="006863D8">
        <w:rPr>
          <w:rFonts w:ascii="Arial" w:hAnsi="Arial" w:cs="Arial"/>
          <w:b/>
          <w:sz w:val="20"/>
          <w:szCs w:val="20"/>
        </w:rPr>
        <w:t>možné sjednat povinné ručení pro vů</w:t>
      </w:r>
      <w:r w:rsidR="00B21D7F">
        <w:rPr>
          <w:rFonts w:ascii="Arial" w:hAnsi="Arial" w:cs="Arial"/>
          <w:b/>
          <w:sz w:val="20"/>
          <w:szCs w:val="20"/>
        </w:rPr>
        <w:t>z Škoda Octavia 1,6 TDI, 85 kW, který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je typický</w:t>
      </w:r>
      <w:r w:rsidR="00B21D7F">
        <w:rPr>
          <w:rFonts w:ascii="Arial" w:hAnsi="Arial" w:cs="Arial"/>
          <w:b/>
          <w:sz w:val="20"/>
          <w:szCs w:val="20"/>
        </w:rPr>
        <w:t>m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v</w:t>
      </w:r>
      <w:r w:rsidR="00B21D7F">
        <w:rPr>
          <w:rFonts w:ascii="Arial" w:hAnsi="Arial" w:cs="Arial"/>
          <w:b/>
          <w:sz w:val="20"/>
          <w:szCs w:val="20"/>
        </w:rPr>
        <w:t>ozem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</w:t>
      </w:r>
      <w:r w:rsidR="00AA1EF9" w:rsidRPr="006863D8">
        <w:rPr>
          <w:rFonts w:ascii="Arial" w:hAnsi="Arial" w:cs="Arial"/>
          <w:b/>
          <w:sz w:val="20"/>
          <w:szCs w:val="20"/>
        </w:rPr>
        <w:t>česk</w:t>
      </w:r>
      <w:r w:rsidR="008C3AC7" w:rsidRPr="006863D8">
        <w:rPr>
          <w:rFonts w:ascii="Arial" w:hAnsi="Arial" w:cs="Arial"/>
          <w:b/>
          <w:sz w:val="20"/>
          <w:szCs w:val="20"/>
        </w:rPr>
        <w:t>ých domácností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. Index je složen 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z uvedených limitů povinného ručení v poměrech </w:t>
      </w:r>
      <w:r w:rsidR="00AA1EF9" w:rsidRPr="006863D8">
        <w:rPr>
          <w:rFonts w:ascii="Arial" w:hAnsi="Arial" w:cs="Arial"/>
          <w:b/>
          <w:sz w:val="20"/>
          <w:szCs w:val="20"/>
        </w:rPr>
        <w:t>55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% 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pro limity </w:t>
      </w:r>
      <w:r w:rsidR="00AA1EF9" w:rsidRPr="006863D8">
        <w:rPr>
          <w:rFonts w:ascii="Arial" w:hAnsi="Arial" w:cs="Arial"/>
          <w:b/>
          <w:sz w:val="20"/>
          <w:szCs w:val="20"/>
        </w:rPr>
        <w:t>150/150,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36 % pro limity 100/100 </w:t>
      </w:r>
      <w:r w:rsidR="00AA1EF9" w:rsidRPr="006863D8">
        <w:rPr>
          <w:rFonts w:ascii="Arial" w:hAnsi="Arial" w:cs="Arial"/>
          <w:b/>
          <w:sz w:val="20"/>
          <w:szCs w:val="20"/>
        </w:rPr>
        <w:t>a 9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 </w:t>
      </w:r>
      <w:r w:rsidR="00AA1EF9" w:rsidRPr="006863D8">
        <w:rPr>
          <w:rFonts w:ascii="Arial" w:hAnsi="Arial" w:cs="Arial"/>
          <w:b/>
          <w:sz w:val="20"/>
          <w:szCs w:val="20"/>
        </w:rPr>
        <w:t xml:space="preserve">% </w:t>
      </w:r>
      <w:r w:rsidR="008C3AC7" w:rsidRPr="006863D8">
        <w:rPr>
          <w:rFonts w:ascii="Arial" w:hAnsi="Arial" w:cs="Arial"/>
          <w:b/>
          <w:sz w:val="20"/>
          <w:szCs w:val="20"/>
        </w:rPr>
        <w:t xml:space="preserve">pro limity </w:t>
      </w:r>
      <w:r w:rsidR="00AA1EF9" w:rsidRPr="006863D8">
        <w:rPr>
          <w:rFonts w:ascii="Arial" w:hAnsi="Arial" w:cs="Arial"/>
          <w:b/>
          <w:sz w:val="20"/>
          <w:szCs w:val="20"/>
        </w:rPr>
        <w:t>200/200.</w:t>
      </w:r>
    </w:p>
    <w:p w14:paraId="48188059" w14:textId="77777777" w:rsidR="00AA1EF9" w:rsidRPr="00673898" w:rsidRDefault="00AA1EF9" w:rsidP="0065153C">
      <w:pPr>
        <w:jc w:val="both"/>
        <w:rPr>
          <w:rFonts w:ascii="Arial" w:hAnsi="Arial" w:cs="Arial"/>
          <w:sz w:val="20"/>
          <w:szCs w:val="20"/>
        </w:rPr>
      </w:pPr>
    </w:p>
    <w:p w14:paraId="2DDE8E06" w14:textId="283CEDAB" w:rsidR="002F0335" w:rsidRPr="000C351D" w:rsidRDefault="00673898" w:rsidP="002F0335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2B053B">
        <w:rPr>
          <w:rFonts w:ascii="Arial" w:hAnsi="Arial" w:cs="Arial"/>
          <w:sz w:val="20"/>
          <w:szCs w:val="20"/>
        </w:rPr>
        <w:t xml:space="preserve">POVIndex </w:t>
      </w:r>
      <w:r w:rsidR="00B714D3">
        <w:rPr>
          <w:rFonts w:ascii="Arial" w:hAnsi="Arial" w:cs="Arial"/>
          <w:sz w:val="20"/>
          <w:szCs w:val="20"/>
        </w:rPr>
        <w:t>uvádí průměr cen</w:t>
      </w:r>
      <w:r w:rsidRPr="002B053B">
        <w:rPr>
          <w:rFonts w:ascii="Arial" w:hAnsi="Arial" w:cs="Arial"/>
          <w:sz w:val="20"/>
          <w:szCs w:val="20"/>
        </w:rPr>
        <w:t xml:space="preserve"> za celou</w:t>
      </w:r>
      <w:r w:rsidR="00B21D7F">
        <w:rPr>
          <w:rFonts w:ascii="Arial" w:hAnsi="Arial" w:cs="Arial"/>
          <w:sz w:val="20"/>
          <w:szCs w:val="20"/>
        </w:rPr>
        <w:t xml:space="preserve"> Českou</w:t>
      </w:r>
      <w:r w:rsidRPr="002B053B">
        <w:rPr>
          <w:rFonts w:ascii="Arial" w:hAnsi="Arial" w:cs="Arial"/>
          <w:sz w:val="20"/>
          <w:szCs w:val="20"/>
        </w:rPr>
        <w:t xml:space="preserve"> republiku, v jednotlivých regionech se p</w:t>
      </w:r>
      <w:r w:rsidR="00B714D3">
        <w:rPr>
          <w:rFonts w:ascii="Arial" w:hAnsi="Arial" w:cs="Arial"/>
          <w:sz w:val="20"/>
          <w:szCs w:val="20"/>
        </w:rPr>
        <w:t xml:space="preserve">ak průměrná výše liší. V Praze se ceny povinného ručení pohybují </w:t>
      </w:r>
      <w:r w:rsidR="00141303">
        <w:rPr>
          <w:rFonts w:ascii="Arial" w:hAnsi="Arial" w:cs="Arial"/>
          <w:sz w:val="20"/>
          <w:szCs w:val="20"/>
        </w:rPr>
        <w:t>v průměru o 9,6</w:t>
      </w:r>
      <w:r w:rsidR="00B714D3">
        <w:rPr>
          <w:rFonts w:ascii="Arial" w:hAnsi="Arial" w:cs="Arial"/>
          <w:sz w:val="20"/>
          <w:szCs w:val="20"/>
        </w:rPr>
        <w:t xml:space="preserve"> % výše, naopak</w:t>
      </w:r>
      <w:r w:rsidRPr="002B053B">
        <w:rPr>
          <w:rFonts w:ascii="Arial" w:hAnsi="Arial" w:cs="Arial"/>
          <w:sz w:val="20"/>
          <w:szCs w:val="20"/>
        </w:rPr>
        <w:t xml:space="preserve"> </w:t>
      </w:r>
      <w:r w:rsidR="00B714D3">
        <w:rPr>
          <w:rFonts w:ascii="Arial" w:hAnsi="Arial" w:cs="Arial"/>
          <w:sz w:val="20"/>
          <w:szCs w:val="20"/>
        </w:rPr>
        <w:t xml:space="preserve">řidiči </w:t>
      </w:r>
      <w:r w:rsidRPr="002B053B">
        <w:rPr>
          <w:rFonts w:ascii="Arial" w:hAnsi="Arial" w:cs="Arial"/>
          <w:sz w:val="20"/>
          <w:szCs w:val="20"/>
        </w:rPr>
        <w:t>ve městech o velikosti Benešova</w:t>
      </w:r>
      <w:r w:rsidR="00B714D3">
        <w:rPr>
          <w:rFonts w:ascii="Arial" w:hAnsi="Arial" w:cs="Arial"/>
          <w:sz w:val="20"/>
          <w:szCs w:val="20"/>
        </w:rPr>
        <w:t xml:space="preserve"> za něj zaplatí </w:t>
      </w:r>
      <w:r w:rsidRPr="002B053B">
        <w:rPr>
          <w:rFonts w:ascii="Arial" w:hAnsi="Arial" w:cs="Arial"/>
          <w:sz w:val="20"/>
          <w:szCs w:val="20"/>
        </w:rPr>
        <w:t xml:space="preserve">průměrně </w:t>
      </w:r>
      <w:r w:rsidR="00B714D3">
        <w:rPr>
          <w:rFonts w:ascii="Arial" w:hAnsi="Arial" w:cs="Arial"/>
          <w:sz w:val="20"/>
          <w:szCs w:val="20"/>
        </w:rPr>
        <w:t xml:space="preserve">o </w:t>
      </w:r>
      <w:r w:rsidR="00141303">
        <w:rPr>
          <w:rFonts w:ascii="Arial" w:hAnsi="Arial" w:cs="Arial"/>
          <w:sz w:val="20"/>
          <w:szCs w:val="20"/>
        </w:rPr>
        <w:t>11,9</w:t>
      </w:r>
      <w:r w:rsidR="00B714D3">
        <w:rPr>
          <w:rFonts w:ascii="Arial" w:hAnsi="Arial" w:cs="Arial"/>
          <w:sz w:val="20"/>
          <w:szCs w:val="20"/>
        </w:rPr>
        <w:t xml:space="preserve"> % méně. </w:t>
      </w:r>
      <w:r w:rsidR="009612EF">
        <w:rPr>
          <w:rFonts w:ascii="Arial" w:hAnsi="Arial" w:cs="Arial"/>
          <w:sz w:val="20"/>
          <w:szCs w:val="20"/>
        </w:rPr>
        <w:t>Průměr r</w:t>
      </w:r>
      <w:r w:rsidR="007541EF">
        <w:rPr>
          <w:rFonts w:ascii="Arial" w:hAnsi="Arial" w:cs="Arial"/>
          <w:sz w:val="20"/>
          <w:szCs w:val="20"/>
        </w:rPr>
        <w:t xml:space="preserve">očního pojistného pro vozidla v </w:t>
      </w:r>
      <w:r w:rsidR="009612EF">
        <w:rPr>
          <w:rFonts w:ascii="Arial" w:hAnsi="Arial" w:cs="Arial"/>
          <w:sz w:val="20"/>
          <w:szCs w:val="20"/>
        </w:rPr>
        <w:t xml:space="preserve">Praze se </w:t>
      </w:r>
      <w:r w:rsidR="00B21D7F">
        <w:rPr>
          <w:rFonts w:ascii="Arial" w:hAnsi="Arial" w:cs="Arial"/>
          <w:sz w:val="20"/>
          <w:szCs w:val="20"/>
        </w:rPr>
        <w:t xml:space="preserve">podle indexu </w:t>
      </w:r>
      <w:r w:rsidR="007541EF">
        <w:rPr>
          <w:rFonts w:ascii="Arial" w:hAnsi="Arial" w:cs="Arial"/>
          <w:sz w:val="20"/>
          <w:szCs w:val="20"/>
        </w:rPr>
        <w:t xml:space="preserve">v </w:t>
      </w:r>
      <w:r w:rsidR="009612EF">
        <w:rPr>
          <w:rFonts w:ascii="Arial" w:hAnsi="Arial" w:cs="Arial"/>
          <w:sz w:val="20"/>
          <w:szCs w:val="20"/>
        </w:rPr>
        <w:t>únoru ustálil na č</w:t>
      </w:r>
      <w:r w:rsidR="007541EF">
        <w:rPr>
          <w:rFonts w:ascii="Arial" w:hAnsi="Arial" w:cs="Arial"/>
          <w:sz w:val="20"/>
          <w:szCs w:val="20"/>
        </w:rPr>
        <w:t xml:space="preserve">ástce </w:t>
      </w:r>
      <w:r w:rsidR="007541EF">
        <w:rPr>
          <w:rFonts w:ascii="Arial" w:hAnsi="Arial" w:cs="Arial"/>
          <w:sz w:val="20"/>
          <w:szCs w:val="20"/>
        </w:rPr>
        <w:br/>
      </w:r>
      <w:r w:rsidR="00032AD6">
        <w:rPr>
          <w:rFonts w:ascii="Arial" w:hAnsi="Arial" w:cs="Arial"/>
          <w:sz w:val="20"/>
          <w:szCs w:val="20"/>
        </w:rPr>
        <w:t>7 392 Kč,</w:t>
      </w:r>
      <w:r w:rsidR="00CB432F">
        <w:rPr>
          <w:rFonts w:ascii="Arial" w:hAnsi="Arial" w:cs="Arial"/>
          <w:sz w:val="20"/>
          <w:szCs w:val="20"/>
        </w:rPr>
        <w:t xml:space="preserve"> zatímco ve stejném</w:t>
      </w:r>
      <w:r w:rsidR="007541EF">
        <w:rPr>
          <w:rFonts w:ascii="Arial" w:hAnsi="Arial" w:cs="Arial"/>
          <w:sz w:val="20"/>
          <w:szCs w:val="20"/>
        </w:rPr>
        <w:t xml:space="preserve"> období minulého roku to bylo 7 </w:t>
      </w:r>
      <w:r w:rsidR="009612EF">
        <w:rPr>
          <w:rFonts w:ascii="Arial" w:hAnsi="Arial" w:cs="Arial"/>
          <w:sz w:val="20"/>
          <w:szCs w:val="20"/>
        </w:rPr>
        <w:t xml:space="preserve">646 Kč. U malého města je meziroční rozdíl cen </w:t>
      </w:r>
      <w:r w:rsidR="009F09B6">
        <w:rPr>
          <w:rFonts w:ascii="Arial" w:hAnsi="Arial" w:cs="Arial"/>
          <w:sz w:val="20"/>
          <w:szCs w:val="20"/>
        </w:rPr>
        <w:t xml:space="preserve">mnohem </w:t>
      </w:r>
      <w:r w:rsidR="009612EF" w:rsidRPr="00032AD6">
        <w:rPr>
          <w:rFonts w:ascii="Arial" w:hAnsi="Arial" w:cs="Arial"/>
          <w:sz w:val="20"/>
          <w:szCs w:val="20"/>
        </w:rPr>
        <w:t>menší</w:t>
      </w:r>
      <w:r w:rsidR="009612EF">
        <w:rPr>
          <w:rFonts w:ascii="Arial" w:hAnsi="Arial" w:cs="Arial"/>
          <w:sz w:val="20"/>
          <w:szCs w:val="20"/>
        </w:rPr>
        <w:t xml:space="preserve">, jak ukazuje porovnání aktuální hodnoty </w:t>
      </w:r>
      <w:r w:rsidR="00032AD6">
        <w:rPr>
          <w:rFonts w:ascii="Arial" w:hAnsi="Arial" w:cs="Arial"/>
          <w:sz w:val="20"/>
          <w:szCs w:val="20"/>
        </w:rPr>
        <w:t>5 972</w:t>
      </w:r>
      <w:r w:rsidR="009612EF" w:rsidRPr="00032AD6">
        <w:rPr>
          <w:rFonts w:ascii="Arial" w:hAnsi="Arial" w:cs="Arial"/>
          <w:sz w:val="20"/>
          <w:szCs w:val="20"/>
        </w:rPr>
        <w:t xml:space="preserve"> Kč</w:t>
      </w:r>
      <w:r w:rsidR="007541EF">
        <w:rPr>
          <w:rFonts w:ascii="Arial" w:hAnsi="Arial" w:cs="Arial"/>
          <w:sz w:val="20"/>
          <w:szCs w:val="20"/>
        </w:rPr>
        <w:t xml:space="preserve"> s loňskou 5 </w:t>
      </w:r>
      <w:r w:rsidR="009612EF">
        <w:rPr>
          <w:rFonts w:ascii="Arial" w:hAnsi="Arial" w:cs="Arial"/>
          <w:sz w:val="20"/>
          <w:szCs w:val="20"/>
        </w:rPr>
        <w:t xml:space="preserve">911 Kč. </w:t>
      </w:r>
      <w:r w:rsidR="000C351D" w:rsidRPr="00835736">
        <w:rPr>
          <w:rFonts w:ascii="Arial" w:hAnsi="Arial" w:cs="Arial"/>
          <w:i/>
          <w:sz w:val="20"/>
          <w:szCs w:val="20"/>
        </w:rPr>
        <w:t>„</w:t>
      </w:r>
      <w:r w:rsidR="007541EF">
        <w:rPr>
          <w:rFonts w:ascii="Arial" w:hAnsi="Arial" w:cs="Arial"/>
          <w:i/>
          <w:sz w:val="20"/>
          <w:szCs w:val="20"/>
        </w:rPr>
        <w:t xml:space="preserve">Rozdíl v </w:t>
      </w:r>
      <w:r w:rsidR="008020D3" w:rsidRPr="00835736">
        <w:rPr>
          <w:rFonts w:ascii="Arial" w:hAnsi="Arial" w:cs="Arial"/>
          <w:i/>
          <w:sz w:val="20"/>
          <w:szCs w:val="20"/>
        </w:rPr>
        <w:t xml:space="preserve">cenách je dán </w:t>
      </w:r>
      <w:r w:rsidR="00543F98" w:rsidRPr="00835736">
        <w:rPr>
          <w:rFonts w:ascii="Arial" w:hAnsi="Arial" w:cs="Arial"/>
          <w:i/>
          <w:sz w:val="20"/>
          <w:szCs w:val="20"/>
        </w:rPr>
        <w:t>konkrétní daty o nehodovosti</w:t>
      </w:r>
      <w:r w:rsidR="00543F98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, takže i dvě města </w:t>
      </w:r>
      <w:r w:rsidR="00DD1EC1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podobné </w:t>
      </w:r>
      <w:r w:rsidR="00543F98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velikosti mohou být v různých krajích </w:t>
      </w:r>
      <w:r w:rsidR="002B053B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n</w:t>
      </w:r>
      <w:r w:rsidR="009612EF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a</w:t>
      </w:r>
      <w:r w:rsidR="002B053B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ceněná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 jinak. Ve velkých městech je riziko vzniku nehody </w:t>
      </w:r>
      <w:r w:rsid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samozřejmě 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o poznání vyšší. </w:t>
      </w:r>
      <w:r w:rsidR="002F0335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Cenu povinného ručení ovlivňuje 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i </w:t>
      </w:r>
      <w:r w:rsidR="002F0335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věk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 </w:t>
      </w:r>
      <w:r w:rsidR="00453CFE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a místo bydliště řidiče a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 jeho řidičské zkušenosti. </w:t>
      </w:r>
      <w:r w:rsidR="00453CFE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Nejrizikovějšími skupinami jsou </w:t>
      </w:r>
      <w:r w:rsidR="000C351D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řidiči do 21 let a senioři starší 75 let. </w:t>
      </w:r>
      <w:r w:rsidR="00835736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Sazbu povinného ručení</w:t>
      </w:r>
      <w:r w:rsid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 </w:t>
      </w:r>
      <w:r w:rsidR="00B21D7F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dále ovlivňují p</w:t>
      </w:r>
      <w:r w:rsid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arametry vozidla, </w:t>
      </w:r>
      <w:r w:rsidR="00835736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frekvence placení,</w:t>
      </w:r>
      <w:r w:rsidR="009F09B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 informace o nájezdu kilometrů, </w:t>
      </w:r>
      <w:r w:rsidR="002F0335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frekvenci a rozsahu přestupků</w:t>
      </w:r>
      <w:r w:rsidR="00835736" w:rsidRPr="00835736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,“</w:t>
      </w:r>
      <w:r w:rsidR="0083573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vyjmenovává </w:t>
      </w:r>
      <w:r w:rsidR="00835736" w:rsidRPr="00835736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Jiří Váchal, analytik neživotního pojištění Broker Consulting</w:t>
      </w:r>
      <w:r w:rsidR="002F0335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0C351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05C3D9C4" w14:textId="77777777" w:rsidR="004C7BB5" w:rsidRDefault="004C7BB5" w:rsidP="0065153C">
      <w:pPr>
        <w:jc w:val="both"/>
        <w:rPr>
          <w:noProof/>
          <w:lang w:bidi="ar-SA"/>
        </w:rPr>
      </w:pPr>
    </w:p>
    <w:p w14:paraId="71759867" w14:textId="1C1B7C7A" w:rsidR="00E83CCD" w:rsidRDefault="009E3060" w:rsidP="00E83CCD">
      <w:pPr>
        <w:widowControl/>
        <w:shd w:val="clear" w:color="auto" w:fill="FFFFFF"/>
        <w:autoSpaceDE/>
        <w:autoSpaceDN/>
        <w:spacing w:after="255"/>
        <w:rPr>
          <w:rFonts w:ascii="Arial" w:eastAsia="Times New Roman" w:hAnsi="Arial" w:cs="Arial"/>
          <w:b/>
          <w:iCs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iCs/>
          <w:color w:val="000000"/>
          <w:sz w:val="20"/>
          <w:szCs w:val="20"/>
          <w:lang w:bidi="ar-SA"/>
        </w:rPr>
        <w:t>Nejasnosti kolem</w:t>
      </w:r>
      <w:r w:rsidR="00F51C8D">
        <w:rPr>
          <w:rFonts w:ascii="Arial" w:eastAsia="Times New Roman" w:hAnsi="Arial" w:cs="Arial"/>
          <w:b/>
          <w:iCs/>
          <w:color w:val="000000"/>
          <w:sz w:val="20"/>
          <w:szCs w:val="20"/>
          <w:lang w:bidi="ar-SA"/>
        </w:rPr>
        <w:t xml:space="preserve"> bodového systému </w:t>
      </w:r>
    </w:p>
    <w:p w14:paraId="409B1218" w14:textId="1553D6C9" w:rsidR="009E3060" w:rsidRDefault="00453CFE" w:rsidP="00D82E2D">
      <w:pPr>
        <w:widowControl/>
        <w:shd w:val="clear" w:color="auto" w:fill="FFFFFF"/>
        <w:autoSpaceDE/>
        <w:autoSpaceDN/>
        <w:spacing w:after="25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>Ač</w:t>
      </w:r>
      <w:r w:rsidR="00E83CCD"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 xml:space="preserve">koli bodový systém, který řeší </w:t>
      </w:r>
      <w:r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 xml:space="preserve">přestupky </w:t>
      </w:r>
      <w:r w:rsidR="00E83CCD"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>řidičů, platí v Česku už od roku 2006, zůstává mezi motoristy</w:t>
      </w:r>
      <w:r w:rsidR="009F09B6"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 xml:space="preserve"> hojně</w:t>
      </w:r>
      <w:r w:rsidR="00E83CCD"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 xml:space="preserve"> diskutovaným tématem i dnes. Někteří řidiči nemají zcela jasno v tom, </w:t>
      </w:r>
      <w:r w:rsidR="008672D5" w:rsidRPr="00C00860">
        <w:rPr>
          <w:rFonts w:ascii="Arial" w:hAnsi="Arial" w:cs="Arial"/>
          <w:color w:val="000000"/>
          <w:sz w:val="20"/>
          <w:szCs w:val="20"/>
        </w:rPr>
        <w:t>kde a jak zjistí stav svého bodového konta</w:t>
      </w:r>
      <w:r w:rsidR="00E83CCD">
        <w:rPr>
          <w:rFonts w:ascii="Arial" w:hAnsi="Arial" w:cs="Arial"/>
          <w:color w:val="000000"/>
          <w:sz w:val="20"/>
          <w:szCs w:val="20"/>
        </w:rPr>
        <w:t xml:space="preserve">, </w:t>
      </w:r>
      <w:r w:rsidR="00B066DB">
        <w:rPr>
          <w:rFonts w:ascii="Arial" w:hAnsi="Arial" w:cs="Arial"/>
          <w:color w:val="000000"/>
          <w:sz w:val="20"/>
          <w:szCs w:val="20"/>
        </w:rPr>
        <w:t>či</w:t>
      </w:r>
      <w:r w:rsidR="00E83CCD">
        <w:rPr>
          <w:rFonts w:ascii="Arial" w:hAnsi="Arial" w:cs="Arial"/>
          <w:color w:val="000000"/>
          <w:sz w:val="20"/>
          <w:szCs w:val="20"/>
        </w:rPr>
        <w:t xml:space="preserve"> zda se body přičítají, nebo </w:t>
      </w:r>
      <w:r w:rsidR="00B00B35">
        <w:rPr>
          <w:rFonts w:ascii="Arial" w:hAnsi="Arial" w:cs="Arial"/>
          <w:color w:val="000000"/>
          <w:sz w:val="20"/>
          <w:szCs w:val="20"/>
        </w:rPr>
        <w:t xml:space="preserve">odečítají. </w:t>
      </w:r>
      <w:r w:rsidR="009E3060">
        <w:rPr>
          <w:rFonts w:ascii="Arial" w:hAnsi="Arial" w:cs="Arial"/>
          <w:color w:val="000000"/>
          <w:sz w:val="20"/>
          <w:szCs w:val="20"/>
        </w:rPr>
        <w:t>Platí, že č</w:t>
      </w:r>
      <w:r w:rsidR="008672D5" w:rsidRPr="00C00860">
        <w:rPr>
          <w:rFonts w:ascii="Arial" w:hAnsi="Arial" w:cs="Arial"/>
          <w:color w:val="000000"/>
          <w:sz w:val="20"/>
          <w:szCs w:val="20"/>
        </w:rPr>
        <w:t>isté bodové konto</w:t>
      </w:r>
      <w:r w:rsidR="00B00B35">
        <w:rPr>
          <w:rFonts w:ascii="Arial" w:hAnsi="Arial" w:cs="Arial"/>
          <w:color w:val="000000"/>
          <w:sz w:val="20"/>
          <w:szCs w:val="20"/>
        </w:rPr>
        <w:t xml:space="preserve"> je nulové a tr</w:t>
      </w:r>
      <w:r w:rsidR="00B00B35" w:rsidRPr="00C00860">
        <w:rPr>
          <w:rFonts w:ascii="Arial" w:hAnsi="Arial" w:cs="Arial"/>
          <w:color w:val="000000"/>
          <w:sz w:val="20"/>
          <w:szCs w:val="20"/>
        </w:rPr>
        <w:t xml:space="preserve">estné body za </w:t>
      </w:r>
      <w:r w:rsidR="00B00B35">
        <w:rPr>
          <w:rFonts w:ascii="Arial" w:hAnsi="Arial" w:cs="Arial"/>
          <w:color w:val="000000"/>
          <w:sz w:val="20"/>
          <w:szCs w:val="20"/>
        </w:rPr>
        <w:t xml:space="preserve">přestupky se následně přičítají. </w:t>
      </w:r>
      <w:r w:rsidR="00B066DB"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  <w:t xml:space="preserve">V ojedinělých případech si však ani policista nemusí být jist, </w:t>
      </w:r>
      <w:r w:rsidR="00B00B35">
        <w:rPr>
          <w:rFonts w:ascii="Arial" w:hAnsi="Arial" w:cs="Arial"/>
          <w:color w:val="000000"/>
          <w:sz w:val="20"/>
          <w:szCs w:val="20"/>
        </w:rPr>
        <w:t xml:space="preserve">kolik </w:t>
      </w:r>
      <w:r w:rsidR="009E3060">
        <w:rPr>
          <w:rFonts w:ascii="Arial" w:hAnsi="Arial" w:cs="Arial"/>
          <w:color w:val="000000"/>
          <w:sz w:val="20"/>
          <w:szCs w:val="20"/>
        </w:rPr>
        <w:t xml:space="preserve">trestných bodů čítá </w:t>
      </w:r>
      <w:r w:rsidR="00B066DB">
        <w:rPr>
          <w:rFonts w:ascii="Arial" w:hAnsi="Arial" w:cs="Arial"/>
          <w:color w:val="000000"/>
          <w:sz w:val="20"/>
          <w:szCs w:val="20"/>
        </w:rPr>
        <w:t xml:space="preserve">daný </w:t>
      </w:r>
      <w:r w:rsidR="00B00B35">
        <w:rPr>
          <w:rFonts w:ascii="Arial" w:hAnsi="Arial" w:cs="Arial"/>
          <w:color w:val="000000"/>
          <w:sz w:val="20"/>
          <w:szCs w:val="20"/>
        </w:rPr>
        <w:t xml:space="preserve">přestupek. </w:t>
      </w:r>
      <w:r w:rsidR="00B066DB">
        <w:rPr>
          <w:rFonts w:ascii="Arial" w:hAnsi="Arial" w:cs="Arial"/>
          <w:color w:val="000000"/>
          <w:sz w:val="20"/>
          <w:szCs w:val="20"/>
        </w:rPr>
        <w:t>Jiří Váchal objasňuje, proč</w:t>
      </w:r>
      <w:r w:rsidR="00696831">
        <w:rPr>
          <w:rFonts w:ascii="Arial" w:hAnsi="Arial" w:cs="Arial"/>
          <w:color w:val="000000"/>
          <w:sz w:val="20"/>
          <w:szCs w:val="20"/>
        </w:rPr>
        <w:t xml:space="preserve"> k takovým situacím může dojít: 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„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>Trestné body za přestupky</w:t>
      </w:r>
      <w:r w:rsidR="00467207" w:rsidRPr="009E3060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>ne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uděluje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 policie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, ale úřad</w:t>
      </w:r>
      <w:r w:rsidR="00067BED">
        <w:rPr>
          <w:rFonts w:ascii="Arial" w:hAnsi="Arial" w:cs="Arial"/>
          <w:i/>
          <w:color w:val="000000"/>
          <w:sz w:val="20"/>
          <w:szCs w:val="20"/>
        </w:rPr>
        <w:t xml:space="preserve"> obce</w:t>
      </w:r>
      <w:r w:rsidR="009E3060" w:rsidRPr="009E3060">
        <w:rPr>
          <w:rFonts w:ascii="Arial" w:hAnsi="Arial" w:cs="Arial"/>
          <w:i/>
          <w:color w:val="000000"/>
          <w:sz w:val="20"/>
          <w:szCs w:val="20"/>
        </w:rPr>
        <w:t xml:space="preserve"> s rozšířenou působností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,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 kte</w:t>
      </w:r>
      <w:r w:rsidR="00B00B35" w:rsidRPr="009E3060">
        <w:rPr>
          <w:rFonts w:ascii="Arial" w:hAnsi="Arial" w:cs="Arial"/>
          <w:i/>
          <w:color w:val="000000"/>
          <w:sz w:val="20"/>
          <w:szCs w:val="20"/>
        </w:rPr>
        <w:t>rému policista přestupek oznámí. Ú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>řad</w:t>
      </w:r>
      <w:r w:rsidR="00B00B35" w:rsidRPr="009E3060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9E3060" w:rsidRPr="009E3060">
        <w:rPr>
          <w:rFonts w:ascii="Arial" w:hAnsi="Arial" w:cs="Arial"/>
          <w:i/>
          <w:color w:val="000000"/>
          <w:sz w:val="20"/>
          <w:szCs w:val="20"/>
        </w:rPr>
        <w:t xml:space="preserve">má pak povinnost 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 xml:space="preserve">sdělit 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řidiči 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 xml:space="preserve">stav 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>jeho bodové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ho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 kont</w:t>
      </w:r>
      <w:r w:rsidR="00B066DB" w:rsidRPr="009E3060">
        <w:rPr>
          <w:rFonts w:ascii="Arial" w:hAnsi="Arial" w:cs="Arial"/>
          <w:i/>
          <w:color w:val="000000"/>
          <w:sz w:val="20"/>
          <w:szCs w:val="20"/>
        </w:rPr>
        <w:t>a</w:t>
      </w:r>
      <w:r w:rsidR="009F09B6">
        <w:rPr>
          <w:rFonts w:ascii="Arial" w:hAnsi="Arial" w:cs="Arial"/>
          <w:i/>
          <w:color w:val="000000"/>
          <w:sz w:val="20"/>
          <w:szCs w:val="20"/>
        </w:rPr>
        <w:t xml:space="preserve">, nicméně o to musí řidič </w:t>
      </w:r>
      <w:r w:rsidR="009E3060" w:rsidRPr="009E3060">
        <w:rPr>
          <w:rFonts w:ascii="Arial" w:hAnsi="Arial" w:cs="Arial"/>
          <w:i/>
          <w:color w:val="000000"/>
          <w:sz w:val="20"/>
          <w:szCs w:val="20"/>
        </w:rPr>
        <w:t xml:space="preserve">písemně zažádat 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na </w:t>
      </w:r>
      <w:r w:rsidR="009F09B6">
        <w:rPr>
          <w:rFonts w:ascii="Arial" w:hAnsi="Arial" w:cs="Arial"/>
          <w:i/>
          <w:color w:val="000000"/>
          <w:sz w:val="20"/>
          <w:szCs w:val="20"/>
        </w:rPr>
        <w:t xml:space="preserve">daném </w:t>
      </w:r>
      <w:r w:rsidR="00C00860" w:rsidRPr="009E3060">
        <w:rPr>
          <w:rFonts w:ascii="Arial" w:hAnsi="Arial" w:cs="Arial"/>
          <w:i/>
          <w:color w:val="000000"/>
          <w:sz w:val="20"/>
          <w:szCs w:val="20"/>
        </w:rPr>
        <w:t xml:space="preserve">odboru dopravně správních agend. </w:t>
      </w:r>
      <w:r w:rsidR="009E3060" w:rsidRPr="009E3060">
        <w:rPr>
          <w:rFonts w:ascii="Arial" w:hAnsi="Arial" w:cs="Arial"/>
          <w:i/>
          <w:color w:val="000000"/>
          <w:sz w:val="20"/>
          <w:szCs w:val="20"/>
        </w:rPr>
        <w:t>Lhůta pro vyřízení žádosti je 30 dnů, ale většina úřadů sdělí řidičům stav bodového konta na počkání.“</w:t>
      </w:r>
    </w:p>
    <w:p w14:paraId="2FBA8D4E" w14:textId="03A1ACBD" w:rsidR="00DD1EC1" w:rsidRPr="00D82E2D" w:rsidRDefault="00DD1EC1" w:rsidP="00DD1EC1">
      <w:pPr>
        <w:widowControl/>
        <w:shd w:val="clear" w:color="auto" w:fill="FFFFFF"/>
        <w:autoSpaceDE/>
        <w:autoSpaceDN/>
        <w:spacing w:after="255"/>
        <w:rPr>
          <w:rFonts w:ascii="Arial" w:hAnsi="Arial" w:cs="Arial"/>
          <w:color w:val="000000"/>
          <w:sz w:val="20"/>
          <w:szCs w:val="20"/>
        </w:rPr>
      </w:pPr>
      <w:r w:rsidRPr="00D82E2D">
        <w:rPr>
          <w:rFonts w:ascii="Arial" w:hAnsi="Arial" w:cs="Arial"/>
          <w:color w:val="000000"/>
          <w:sz w:val="20"/>
          <w:szCs w:val="20"/>
        </w:rPr>
        <w:t xml:space="preserve">Jiří Váchal shrnuje další možnosti, jak si mohou řidiči hlídat </w:t>
      </w:r>
      <w:r w:rsidR="00B21D7F">
        <w:rPr>
          <w:rFonts w:ascii="Arial" w:hAnsi="Arial" w:cs="Arial"/>
          <w:color w:val="000000"/>
          <w:sz w:val="20"/>
          <w:szCs w:val="20"/>
        </w:rPr>
        <w:t xml:space="preserve">stav svého </w:t>
      </w:r>
      <w:r w:rsidRPr="00D82E2D">
        <w:rPr>
          <w:rFonts w:ascii="Arial" w:hAnsi="Arial" w:cs="Arial"/>
          <w:color w:val="000000"/>
          <w:sz w:val="20"/>
          <w:szCs w:val="20"/>
        </w:rPr>
        <w:t>bodové</w:t>
      </w:r>
      <w:r w:rsidR="00B21D7F">
        <w:rPr>
          <w:rFonts w:ascii="Arial" w:hAnsi="Arial" w:cs="Arial"/>
          <w:color w:val="000000"/>
          <w:sz w:val="20"/>
          <w:szCs w:val="20"/>
        </w:rPr>
        <w:t>ho konta</w:t>
      </w:r>
      <w:r w:rsidRPr="00D82E2D">
        <w:rPr>
          <w:rFonts w:ascii="Arial" w:hAnsi="Arial" w:cs="Arial"/>
          <w:color w:val="000000"/>
          <w:sz w:val="20"/>
          <w:szCs w:val="20"/>
        </w:rPr>
        <w:t>:</w:t>
      </w:r>
    </w:p>
    <w:p w14:paraId="06B66FC3" w14:textId="77777777" w:rsidR="00D82E2D" w:rsidRPr="00D82E2D" w:rsidRDefault="00415BA7" w:rsidP="00D82E2D">
      <w:pPr>
        <w:pStyle w:val="Bezmezer"/>
        <w:rPr>
          <w:rStyle w:val="BezmezerChar"/>
          <w:rFonts w:ascii="Arial" w:hAnsi="Arial" w:cs="Arial"/>
          <w:sz w:val="20"/>
          <w:szCs w:val="20"/>
        </w:rPr>
      </w:pPr>
      <w:r w:rsidRPr="00D82E2D">
        <w:rPr>
          <w:rFonts w:ascii="Arial" w:hAnsi="Arial" w:cs="Arial"/>
          <w:sz w:val="20"/>
          <w:szCs w:val="20"/>
          <w:u w:val="single"/>
        </w:rPr>
        <w:t>Portál občana</w:t>
      </w:r>
      <w:r w:rsidR="00D82E2D" w:rsidRPr="00D82E2D">
        <w:rPr>
          <w:rStyle w:val="BezmezerChar"/>
          <w:rFonts w:ascii="Arial" w:hAnsi="Arial" w:cs="Arial"/>
          <w:sz w:val="20"/>
          <w:szCs w:val="20"/>
        </w:rPr>
        <w:t xml:space="preserve"> </w:t>
      </w:r>
    </w:p>
    <w:p w14:paraId="7777E483" w14:textId="4B6ECC39" w:rsidR="00D82E2D" w:rsidRPr="00D82E2D" w:rsidRDefault="00415BA7" w:rsidP="00D82E2D">
      <w:pPr>
        <w:pStyle w:val="Bezmezer"/>
        <w:rPr>
          <w:rFonts w:ascii="Arial" w:hAnsi="Arial" w:cs="Arial"/>
          <w:sz w:val="20"/>
          <w:szCs w:val="20"/>
        </w:rPr>
      </w:pPr>
      <w:r w:rsidRPr="00D82E2D">
        <w:rPr>
          <w:rFonts w:ascii="Arial" w:hAnsi="Arial" w:cs="Arial"/>
          <w:sz w:val="20"/>
          <w:szCs w:val="20"/>
        </w:rPr>
        <w:t>Nejpohodlnějším způsobem ověření bodového konta je p</w:t>
      </w:r>
      <w:r w:rsidR="009F09B6">
        <w:rPr>
          <w:rFonts w:ascii="Arial" w:hAnsi="Arial" w:cs="Arial"/>
          <w:sz w:val="20"/>
          <w:szCs w:val="20"/>
        </w:rPr>
        <w:t>rostřednictvím</w:t>
      </w:r>
      <w:r w:rsidRPr="00D82E2D">
        <w:rPr>
          <w:rFonts w:ascii="Arial" w:hAnsi="Arial" w:cs="Arial"/>
          <w:sz w:val="20"/>
          <w:szCs w:val="20"/>
        </w:rPr>
        <w:t xml:space="preserve"> Portálu občana, dříve nazývaného Portál veřejné správy. Řidiči do něj mohou vstoupit buď přes </w:t>
      </w:r>
      <w:r w:rsidR="009F09B6">
        <w:rPr>
          <w:rFonts w:ascii="Arial" w:hAnsi="Arial" w:cs="Arial"/>
          <w:sz w:val="20"/>
          <w:szCs w:val="20"/>
        </w:rPr>
        <w:t>svou datovou schránku, nebo za pomoci</w:t>
      </w:r>
      <w:r w:rsidRPr="00D82E2D">
        <w:rPr>
          <w:rFonts w:ascii="Arial" w:hAnsi="Arial" w:cs="Arial"/>
          <w:sz w:val="20"/>
          <w:szCs w:val="20"/>
        </w:rPr>
        <w:t xml:space="preserve"> nejnovějšího typu občanského průkazu</w:t>
      </w:r>
      <w:r w:rsidR="00067BED">
        <w:rPr>
          <w:rFonts w:ascii="Arial" w:hAnsi="Arial" w:cs="Arial"/>
          <w:sz w:val="20"/>
          <w:szCs w:val="20"/>
        </w:rPr>
        <w:t xml:space="preserve"> (eObčanka)</w:t>
      </w:r>
      <w:r w:rsidRPr="00D82E2D">
        <w:rPr>
          <w:rFonts w:ascii="Arial" w:hAnsi="Arial" w:cs="Arial"/>
          <w:sz w:val="20"/>
          <w:szCs w:val="20"/>
        </w:rPr>
        <w:t xml:space="preserve">, opatřeného elektronickým čipem, a čtečky </w:t>
      </w:r>
      <w:r w:rsidR="009F09B6">
        <w:rPr>
          <w:rFonts w:ascii="Arial" w:hAnsi="Arial" w:cs="Arial"/>
          <w:sz w:val="20"/>
          <w:szCs w:val="20"/>
        </w:rPr>
        <w:t xml:space="preserve">těchto </w:t>
      </w:r>
      <w:r w:rsidRPr="00D82E2D">
        <w:rPr>
          <w:rFonts w:ascii="Arial" w:hAnsi="Arial" w:cs="Arial"/>
          <w:sz w:val="20"/>
          <w:szCs w:val="20"/>
        </w:rPr>
        <w:t>čipů.</w:t>
      </w:r>
    </w:p>
    <w:p w14:paraId="43F15CCD" w14:textId="77777777" w:rsidR="00D82E2D" w:rsidRPr="00D82E2D" w:rsidRDefault="00D82E2D" w:rsidP="00D82E2D">
      <w:pPr>
        <w:pStyle w:val="Bezmezer"/>
        <w:rPr>
          <w:rFonts w:ascii="Arial" w:hAnsi="Arial" w:cs="Arial"/>
          <w:sz w:val="20"/>
          <w:szCs w:val="20"/>
        </w:rPr>
      </w:pPr>
    </w:p>
    <w:p w14:paraId="563B0DFF" w14:textId="115A844B" w:rsidR="00D82E2D" w:rsidRPr="00D82E2D" w:rsidRDefault="00C00860" w:rsidP="00D82E2D">
      <w:pPr>
        <w:pStyle w:val="Bezmezer"/>
        <w:rPr>
          <w:rFonts w:ascii="Arial" w:hAnsi="Arial" w:cs="Arial"/>
          <w:sz w:val="20"/>
          <w:szCs w:val="20"/>
          <w:u w:val="single"/>
        </w:rPr>
      </w:pPr>
      <w:r w:rsidRPr="00D82E2D">
        <w:rPr>
          <w:rFonts w:ascii="Arial" w:hAnsi="Arial" w:cs="Arial"/>
          <w:sz w:val="20"/>
          <w:szCs w:val="20"/>
          <w:u w:val="single"/>
        </w:rPr>
        <w:t>Czech P</w:t>
      </w:r>
      <w:r w:rsidR="00A706DB">
        <w:rPr>
          <w:rFonts w:ascii="Arial" w:hAnsi="Arial" w:cs="Arial"/>
          <w:sz w:val="20"/>
          <w:szCs w:val="20"/>
          <w:u w:val="single"/>
        </w:rPr>
        <w:t>OINT</w:t>
      </w:r>
    </w:p>
    <w:p w14:paraId="675B31C4" w14:textId="5AD4F274" w:rsidR="007E30B0" w:rsidRPr="00D46528" w:rsidRDefault="00DF006F" w:rsidP="00D82E2D">
      <w:pPr>
        <w:pStyle w:val="Bezmezer"/>
        <w:rPr>
          <w:rFonts w:ascii="Arial" w:hAnsi="Arial" w:cs="Arial"/>
          <w:sz w:val="20"/>
          <w:szCs w:val="20"/>
        </w:rPr>
      </w:pPr>
      <w:r w:rsidRPr="00D82E2D">
        <w:rPr>
          <w:rFonts w:ascii="Arial" w:hAnsi="Arial" w:cs="Arial"/>
          <w:sz w:val="20"/>
          <w:szCs w:val="20"/>
        </w:rPr>
        <w:t>Výpis z bodového hodnocení</w:t>
      </w:r>
      <w:r w:rsidR="00D82E2D" w:rsidRPr="00D82E2D">
        <w:rPr>
          <w:rFonts w:ascii="Arial" w:hAnsi="Arial" w:cs="Arial"/>
          <w:sz w:val="20"/>
          <w:szCs w:val="20"/>
        </w:rPr>
        <w:t xml:space="preserve"> z</w:t>
      </w:r>
      <w:r w:rsidR="00C76BA2">
        <w:rPr>
          <w:rFonts w:ascii="Arial" w:hAnsi="Arial" w:cs="Arial"/>
          <w:sz w:val="20"/>
          <w:szCs w:val="20"/>
        </w:rPr>
        <w:t xml:space="preserve"> Centrálního</w:t>
      </w:r>
      <w:r w:rsidRPr="00D82E2D">
        <w:rPr>
          <w:rFonts w:ascii="Arial" w:hAnsi="Arial" w:cs="Arial"/>
          <w:sz w:val="20"/>
          <w:szCs w:val="20"/>
        </w:rPr>
        <w:t xml:space="preserve"> registru řidičů </w:t>
      </w:r>
      <w:r w:rsidR="00DD1EC1" w:rsidRPr="00D82E2D">
        <w:rPr>
          <w:rFonts w:ascii="Arial" w:hAnsi="Arial" w:cs="Arial"/>
          <w:sz w:val="20"/>
          <w:szCs w:val="20"/>
        </w:rPr>
        <w:t xml:space="preserve">zajišťují </w:t>
      </w:r>
      <w:r w:rsidR="00A706DB">
        <w:rPr>
          <w:rFonts w:ascii="Arial" w:hAnsi="Arial" w:cs="Arial"/>
          <w:sz w:val="20"/>
          <w:szCs w:val="20"/>
        </w:rPr>
        <w:t xml:space="preserve">na počkání také </w:t>
      </w:r>
      <w:r w:rsidR="00DD1EC1" w:rsidRPr="00D82E2D">
        <w:rPr>
          <w:rFonts w:ascii="Arial" w:hAnsi="Arial" w:cs="Arial"/>
          <w:sz w:val="20"/>
          <w:szCs w:val="20"/>
        </w:rPr>
        <w:t>k</w:t>
      </w:r>
      <w:r w:rsidR="00C00860" w:rsidRPr="00D82E2D">
        <w:rPr>
          <w:rFonts w:ascii="Arial" w:hAnsi="Arial" w:cs="Arial"/>
          <w:sz w:val="20"/>
          <w:szCs w:val="20"/>
        </w:rPr>
        <w:t xml:space="preserve">ontaktní místa Czech </w:t>
      </w:r>
      <w:r w:rsidR="00A706DB">
        <w:rPr>
          <w:rFonts w:ascii="Arial" w:hAnsi="Arial" w:cs="Arial"/>
          <w:sz w:val="20"/>
          <w:szCs w:val="20"/>
        </w:rPr>
        <w:t xml:space="preserve">POINT. Patří sem i pobočky České pošty označené tímto logem. </w:t>
      </w:r>
      <w:r w:rsidR="00DD1EC1" w:rsidRPr="00D46528">
        <w:rPr>
          <w:rFonts w:ascii="Arial" w:hAnsi="Arial" w:cs="Arial"/>
          <w:sz w:val="20"/>
          <w:szCs w:val="20"/>
        </w:rPr>
        <w:t xml:space="preserve">Cena za tuto službu </w:t>
      </w:r>
      <w:r w:rsidR="00D82E2D" w:rsidRPr="00D46528">
        <w:rPr>
          <w:rFonts w:ascii="Arial" w:hAnsi="Arial" w:cs="Arial"/>
          <w:sz w:val="20"/>
          <w:szCs w:val="20"/>
        </w:rPr>
        <w:t>činí 100 Kč</w:t>
      </w:r>
      <w:r w:rsidR="00A706DB" w:rsidRPr="00D46528">
        <w:rPr>
          <w:rFonts w:ascii="Arial" w:hAnsi="Arial" w:cs="Arial"/>
          <w:sz w:val="20"/>
          <w:szCs w:val="20"/>
        </w:rPr>
        <w:t xml:space="preserve"> za první stránku výpisu</w:t>
      </w:r>
      <w:r w:rsidR="00D82E2D" w:rsidRPr="00D46528">
        <w:rPr>
          <w:rFonts w:ascii="Arial" w:hAnsi="Arial" w:cs="Arial"/>
          <w:sz w:val="20"/>
          <w:szCs w:val="20"/>
        </w:rPr>
        <w:t xml:space="preserve">. </w:t>
      </w:r>
    </w:p>
    <w:p w14:paraId="51B361DD" w14:textId="77777777" w:rsidR="00D82E2D" w:rsidRPr="00D46528" w:rsidRDefault="00D82E2D" w:rsidP="00D82E2D">
      <w:pPr>
        <w:pStyle w:val="Bezmezer"/>
        <w:rPr>
          <w:rFonts w:ascii="Arial" w:hAnsi="Arial" w:cs="Arial"/>
          <w:sz w:val="20"/>
          <w:szCs w:val="20"/>
        </w:rPr>
      </w:pPr>
    </w:p>
    <w:p w14:paraId="0CFDAF57" w14:textId="77777777" w:rsidR="00D82E2D" w:rsidRPr="00D82E2D" w:rsidRDefault="00C00860" w:rsidP="00D82E2D">
      <w:pPr>
        <w:pStyle w:val="Bezmezer"/>
        <w:rPr>
          <w:rFonts w:ascii="Arial" w:hAnsi="Arial" w:cs="Arial"/>
          <w:sz w:val="20"/>
          <w:szCs w:val="20"/>
          <w:u w:val="single"/>
        </w:rPr>
      </w:pPr>
      <w:r w:rsidRPr="00D82E2D">
        <w:rPr>
          <w:rFonts w:ascii="Arial" w:hAnsi="Arial" w:cs="Arial"/>
          <w:sz w:val="20"/>
          <w:szCs w:val="20"/>
          <w:u w:val="single"/>
        </w:rPr>
        <w:t>Hospodářská komora</w:t>
      </w:r>
      <w:r w:rsidR="00415BA7" w:rsidRPr="00D82E2D">
        <w:rPr>
          <w:rFonts w:ascii="Arial" w:hAnsi="Arial" w:cs="Arial"/>
          <w:sz w:val="20"/>
          <w:szCs w:val="20"/>
          <w:u w:val="single"/>
        </w:rPr>
        <w:t xml:space="preserve"> České republiky</w:t>
      </w:r>
    </w:p>
    <w:p w14:paraId="406954CF" w14:textId="5134CA31" w:rsidR="00CB432F" w:rsidRPr="00CB432F" w:rsidRDefault="00CB432F" w:rsidP="00D82E2D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vý</w:t>
      </w:r>
      <w:r w:rsidRPr="00D82E2D">
        <w:rPr>
          <w:rFonts w:ascii="Arial" w:hAnsi="Arial" w:cs="Arial"/>
          <w:sz w:val="20"/>
          <w:szCs w:val="20"/>
        </w:rPr>
        <w:t xml:space="preserve">pis </w:t>
      </w:r>
      <w:r>
        <w:rPr>
          <w:rFonts w:ascii="Arial" w:hAnsi="Arial" w:cs="Arial"/>
          <w:sz w:val="20"/>
          <w:szCs w:val="20"/>
        </w:rPr>
        <w:t>mohou řidiči požádat také na</w:t>
      </w:r>
      <w:r w:rsidRPr="00D82E2D">
        <w:rPr>
          <w:rFonts w:ascii="Arial" w:hAnsi="Arial" w:cs="Arial"/>
          <w:sz w:val="20"/>
          <w:szCs w:val="20"/>
        </w:rPr>
        <w:t xml:space="preserve"> jednotliv</w:t>
      </w:r>
      <w:r>
        <w:rPr>
          <w:rFonts w:ascii="Arial" w:hAnsi="Arial" w:cs="Arial"/>
          <w:sz w:val="20"/>
          <w:szCs w:val="20"/>
        </w:rPr>
        <w:t>ých</w:t>
      </w:r>
      <w:r w:rsidRPr="00D82E2D">
        <w:rPr>
          <w:rFonts w:ascii="Arial" w:hAnsi="Arial" w:cs="Arial"/>
          <w:sz w:val="20"/>
          <w:szCs w:val="20"/>
        </w:rPr>
        <w:t xml:space="preserve"> pobočk</w:t>
      </w:r>
      <w:r>
        <w:rPr>
          <w:rFonts w:ascii="Arial" w:hAnsi="Arial" w:cs="Arial"/>
          <w:sz w:val="20"/>
          <w:szCs w:val="20"/>
        </w:rPr>
        <w:t>ách</w:t>
      </w:r>
      <w:r w:rsidRPr="00D82E2D">
        <w:rPr>
          <w:rFonts w:ascii="Arial" w:hAnsi="Arial" w:cs="Arial"/>
          <w:sz w:val="20"/>
          <w:szCs w:val="20"/>
        </w:rPr>
        <w:t xml:space="preserve"> Hospodářské komory, je však nutné předem ověřit, zda dan</w:t>
      </w:r>
      <w:r>
        <w:rPr>
          <w:rFonts w:ascii="Arial" w:hAnsi="Arial" w:cs="Arial"/>
          <w:sz w:val="20"/>
          <w:szCs w:val="20"/>
        </w:rPr>
        <w:t xml:space="preserve">á </w:t>
      </w:r>
      <w:r w:rsidRPr="00D82E2D">
        <w:rPr>
          <w:rFonts w:ascii="Arial" w:hAnsi="Arial" w:cs="Arial"/>
          <w:sz w:val="20"/>
          <w:szCs w:val="20"/>
        </w:rPr>
        <w:t xml:space="preserve">pobočka tuto službu poskytuje. Cena </w:t>
      </w:r>
      <w:r>
        <w:rPr>
          <w:rFonts w:ascii="Arial" w:hAnsi="Arial" w:cs="Arial"/>
          <w:sz w:val="20"/>
          <w:szCs w:val="20"/>
        </w:rPr>
        <w:t xml:space="preserve">první stránky </w:t>
      </w:r>
      <w:r w:rsidRPr="00D82E2D">
        <w:rPr>
          <w:rFonts w:ascii="Arial" w:hAnsi="Arial" w:cs="Arial"/>
          <w:sz w:val="20"/>
          <w:szCs w:val="20"/>
        </w:rPr>
        <w:t>výpisu je 60 Kč.</w:t>
      </w:r>
    </w:p>
    <w:p w14:paraId="1FFA69BE" w14:textId="13E11CE7" w:rsidR="00D82E2D" w:rsidRDefault="00D82E2D" w:rsidP="00D82E2D">
      <w:pPr>
        <w:pStyle w:val="Bezmezer"/>
      </w:pPr>
    </w:p>
    <w:p w14:paraId="61D19232" w14:textId="77777777" w:rsidR="00CB432F" w:rsidRDefault="00CB432F" w:rsidP="00D82E2D">
      <w:pPr>
        <w:jc w:val="both"/>
        <w:rPr>
          <w:rFonts w:ascii="Arial" w:hAnsi="Arial" w:cs="Arial"/>
          <w:noProof/>
          <w:color w:val="FF0000"/>
          <w:sz w:val="20"/>
          <w:szCs w:val="20"/>
          <w:lang w:bidi="ar-SA"/>
        </w:rPr>
      </w:pPr>
    </w:p>
    <w:p w14:paraId="7748CDED" w14:textId="713D9031" w:rsidR="00D82E2D" w:rsidRPr="00866220" w:rsidRDefault="00D82E2D" w:rsidP="00D82E2D">
      <w:pPr>
        <w:jc w:val="both"/>
        <w:rPr>
          <w:rFonts w:ascii="Arial" w:hAnsi="Arial" w:cs="Arial"/>
          <w:noProof/>
          <w:color w:val="FF0000"/>
          <w:sz w:val="20"/>
          <w:szCs w:val="20"/>
          <w:lang w:bidi="ar-SA"/>
        </w:rPr>
      </w:pP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POZN.: </w:t>
      </w:r>
      <w:r w:rsidRPr="00866220"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Graf </w:t>
      </w: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únorového </w:t>
      </w:r>
      <w:r w:rsidRPr="00866220">
        <w:rPr>
          <w:rFonts w:ascii="Arial" w:hAnsi="Arial" w:cs="Arial"/>
          <w:noProof/>
          <w:color w:val="FF0000"/>
          <w:sz w:val="20"/>
          <w:szCs w:val="20"/>
          <w:lang w:bidi="ar-SA"/>
        </w:rPr>
        <w:t>POVindexu</w:t>
      </w: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 je k dispozici</w:t>
      </w:r>
      <w:r w:rsidRPr="00866220"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 na následující straně</w:t>
      </w:r>
    </w:p>
    <w:p w14:paraId="4CEC0963" w14:textId="77777777" w:rsidR="00C00860" w:rsidRPr="00C00860" w:rsidRDefault="00C00860" w:rsidP="00C00860">
      <w:pPr>
        <w:rPr>
          <w:rFonts w:ascii="Arial" w:hAnsi="Arial" w:cs="Arial"/>
          <w:color w:val="000000"/>
          <w:sz w:val="20"/>
          <w:szCs w:val="20"/>
        </w:rPr>
      </w:pPr>
    </w:p>
    <w:p w14:paraId="0CB12E35" w14:textId="46034BB3" w:rsidR="00C00860" w:rsidRDefault="00EB06C5" w:rsidP="0065153C">
      <w:pPr>
        <w:jc w:val="both"/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7BEC0558" wp14:editId="6999AB2F">
            <wp:simplePos x="0" y="0"/>
            <wp:positionH relativeFrom="column">
              <wp:posOffset>3175</wp:posOffset>
            </wp:positionH>
            <wp:positionV relativeFrom="paragraph">
              <wp:posOffset>163830</wp:posOffset>
            </wp:positionV>
            <wp:extent cx="6563995" cy="2823210"/>
            <wp:effectExtent l="0" t="0" r="8255" b="15240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</w:p>
    <w:p w14:paraId="70265E5E" w14:textId="5AECB5B2" w:rsidR="00673898" w:rsidRDefault="00673898" w:rsidP="0065153C">
      <w:pPr>
        <w:jc w:val="both"/>
        <w:rPr>
          <w:rFonts w:ascii="Arial" w:hAnsi="Arial" w:cs="Arial"/>
          <w:sz w:val="20"/>
          <w:szCs w:val="20"/>
        </w:rPr>
      </w:pPr>
    </w:p>
    <w:p w14:paraId="4DDA4182" w14:textId="490FED92" w:rsidR="00E90FB8" w:rsidRDefault="00E90FB8" w:rsidP="006856FF">
      <w:pPr>
        <w:jc w:val="both"/>
        <w:rPr>
          <w:rFonts w:ascii="Arial" w:hAnsi="Arial" w:cs="Arial"/>
          <w:sz w:val="20"/>
          <w:szCs w:val="20"/>
        </w:rPr>
      </w:pPr>
    </w:p>
    <w:p w14:paraId="4E6A7FC3" w14:textId="77777777" w:rsidR="00DA576C" w:rsidRPr="00B244B9" w:rsidRDefault="00DA576C" w:rsidP="00DA576C">
      <w:pPr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I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ndex</w:t>
      </w:r>
      <w:r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42939BA4" w14:textId="46FFDBA2" w:rsidR="00520EA0" w:rsidRDefault="00520EA0" w:rsidP="00520EA0">
      <w:pPr>
        <w:rPr>
          <w:rFonts w:ascii="Arial" w:hAnsi="Arial" w:cs="Arial"/>
          <w:sz w:val="20"/>
          <w:szCs w:val="20"/>
        </w:rPr>
      </w:pPr>
    </w:p>
    <w:p w14:paraId="49C30229" w14:textId="77777777" w:rsidR="00BD25BD" w:rsidRDefault="00BD25BD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sz w:val="20"/>
          <w:szCs w:val="20"/>
        </w:rPr>
      </w:pPr>
    </w:p>
    <w:p w14:paraId="773B5C23" w14:textId="47B0ABBB" w:rsidR="002A7AE9" w:rsidRDefault="001C4A67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sz w:val="20"/>
          <w:szCs w:val="20"/>
        </w:rPr>
      </w:pPr>
      <w:r w:rsidRPr="00866220">
        <w:rPr>
          <w:rFonts w:ascii="Arial" w:hAnsi="Arial" w:cs="Arial"/>
          <w:b/>
          <w:sz w:val="20"/>
          <w:szCs w:val="20"/>
        </w:rPr>
        <w:t xml:space="preserve">Broker Consulting </w:t>
      </w:r>
      <w:r w:rsidR="0067482F" w:rsidRPr="00866220">
        <w:rPr>
          <w:rFonts w:ascii="Arial" w:hAnsi="Arial" w:cs="Arial"/>
          <w:b/>
          <w:sz w:val="20"/>
          <w:szCs w:val="20"/>
        </w:rPr>
        <w:t>POV</w:t>
      </w:r>
      <w:r w:rsidRPr="00866220">
        <w:rPr>
          <w:rFonts w:ascii="Arial" w:hAnsi="Arial" w:cs="Arial"/>
          <w:b/>
          <w:sz w:val="20"/>
          <w:szCs w:val="20"/>
        </w:rPr>
        <w:t>Index</w:t>
      </w:r>
      <w:r w:rsidRPr="001C4A67">
        <w:rPr>
          <w:rFonts w:ascii="Arial" w:hAnsi="Arial" w:cs="Arial"/>
          <w:sz w:val="20"/>
          <w:szCs w:val="20"/>
        </w:rPr>
        <w:t xml:space="preserve"> ukazuje průměrnou cenu za typické povinné ručení pro nový vůz Škoda Octavia 1,6 TDI, 85 kW. Typ vo</w:t>
      </w:r>
      <w:r>
        <w:rPr>
          <w:rFonts w:ascii="Arial" w:hAnsi="Arial" w:cs="Arial"/>
          <w:sz w:val="20"/>
          <w:szCs w:val="20"/>
        </w:rPr>
        <w:t xml:space="preserve">zu byl vybrán </w:t>
      </w:r>
      <w:r w:rsidR="0030477F">
        <w:rPr>
          <w:rFonts w:ascii="Arial" w:hAnsi="Arial" w:cs="Arial"/>
          <w:sz w:val="20"/>
          <w:szCs w:val="20"/>
        </w:rPr>
        <w:t>proto, že</w:t>
      </w:r>
      <w:r w:rsidRPr="001C4A67">
        <w:rPr>
          <w:rFonts w:ascii="Arial" w:hAnsi="Arial" w:cs="Arial"/>
          <w:sz w:val="20"/>
          <w:szCs w:val="20"/>
        </w:rPr>
        <w:t xml:space="preserve"> je typickým zástupcem vozů, které používají </w:t>
      </w:r>
      <w:r>
        <w:rPr>
          <w:rFonts w:ascii="Arial" w:hAnsi="Arial" w:cs="Arial"/>
          <w:sz w:val="20"/>
          <w:szCs w:val="20"/>
        </w:rPr>
        <w:t>čes</w:t>
      </w:r>
      <w:r w:rsidRPr="001C4A67">
        <w:rPr>
          <w:rFonts w:ascii="Arial" w:hAnsi="Arial" w:cs="Arial"/>
          <w:sz w:val="20"/>
          <w:szCs w:val="20"/>
        </w:rPr>
        <w:t>ké domácn</w:t>
      </w:r>
      <w:r w:rsidR="0067482F">
        <w:rPr>
          <w:rFonts w:ascii="Arial" w:hAnsi="Arial" w:cs="Arial"/>
          <w:sz w:val="20"/>
          <w:szCs w:val="20"/>
        </w:rPr>
        <w:t>osti. Pojištění zahrnutá do POV</w:t>
      </w:r>
      <w:r w:rsidRPr="001C4A67">
        <w:rPr>
          <w:rFonts w:ascii="Arial" w:hAnsi="Arial" w:cs="Arial"/>
          <w:sz w:val="20"/>
          <w:szCs w:val="20"/>
        </w:rPr>
        <w:t xml:space="preserve">Indexu </w:t>
      </w:r>
      <w:r>
        <w:rPr>
          <w:rFonts w:ascii="Arial" w:hAnsi="Arial" w:cs="Arial"/>
          <w:sz w:val="20"/>
          <w:szCs w:val="20"/>
        </w:rPr>
        <w:t>ob</w:t>
      </w:r>
      <w:r w:rsidRPr="001C4A67">
        <w:rPr>
          <w:rFonts w:ascii="Arial" w:hAnsi="Arial" w:cs="Arial"/>
          <w:sz w:val="20"/>
          <w:szCs w:val="20"/>
        </w:rPr>
        <w:t xml:space="preserve">sahují </w:t>
      </w:r>
      <w:r w:rsidR="00D82E2D">
        <w:rPr>
          <w:rFonts w:ascii="Arial" w:hAnsi="Arial" w:cs="Arial"/>
          <w:sz w:val="20"/>
          <w:szCs w:val="20"/>
        </w:rPr>
        <w:t>nejběžnější</w:t>
      </w:r>
      <w:r w:rsidRPr="001C4A67">
        <w:rPr>
          <w:rFonts w:ascii="Arial" w:hAnsi="Arial" w:cs="Arial"/>
          <w:sz w:val="20"/>
          <w:szCs w:val="20"/>
        </w:rPr>
        <w:t xml:space="preserve"> možné krytí. Pojištění dostupná na trhu ale nemají úplně identický rozsah krytí. Vždy je potřeba posuzovat nejenom cenu, ale také rozsah benefitů </w:t>
      </w:r>
      <w:r>
        <w:rPr>
          <w:rFonts w:ascii="Arial" w:hAnsi="Arial" w:cs="Arial"/>
          <w:sz w:val="20"/>
          <w:szCs w:val="20"/>
        </w:rPr>
        <w:t>(ze</w:t>
      </w:r>
      <w:r w:rsidRPr="001C4A67">
        <w:rPr>
          <w:rFonts w:ascii="Arial" w:hAnsi="Arial" w:cs="Arial"/>
          <w:sz w:val="20"/>
          <w:szCs w:val="20"/>
        </w:rPr>
        <w:t xml:space="preserve">jména asistenčních služeb) </w:t>
      </w:r>
      <w:r>
        <w:rPr>
          <w:rFonts w:ascii="Arial" w:hAnsi="Arial" w:cs="Arial"/>
          <w:sz w:val="20"/>
          <w:szCs w:val="20"/>
        </w:rPr>
        <w:t>ve vztahu k potřebám řidi</w:t>
      </w:r>
      <w:r w:rsidRPr="001C4A67">
        <w:rPr>
          <w:rFonts w:ascii="Arial" w:hAnsi="Arial" w:cs="Arial"/>
          <w:sz w:val="20"/>
          <w:szCs w:val="20"/>
        </w:rPr>
        <w:t>če (</w:t>
      </w:r>
      <w:r w:rsidR="007541EF">
        <w:rPr>
          <w:rFonts w:ascii="Arial" w:hAnsi="Arial" w:cs="Arial"/>
          <w:sz w:val="20"/>
          <w:szCs w:val="20"/>
        </w:rPr>
        <w:t>např. jak moc jezdí, jaké vzdálenosti, j</w:t>
      </w:r>
      <w:r w:rsidRPr="001C4A67">
        <w:rPr>
          <w:rFonts w:ascii="Arial" w:hAnsi="Arial" w:cs="Arial"/>
          <w:sz w:val="20"/>
          <w:szCs w:val="20"/>
        </w:rPr>
        <w:t>ak si představuje servis</w:t>
      </w:r>
      <w:r w:rsidR="007541EF">
        <w:rPr>
          <w:rFonts w:ascii="Arial" w:hAnsi="Arial" w:cs="Arial"/>
          <w:sz w:val="20"/>
          <w:szCs w:val="20"/>
        </w:rPr>
        <w:t xml:space="preserve"> od pojišťovny v případě nehody</w:t>
      </w:r>
      <w:r w:rsidRPr="001C4A67">
        <w:rPr>
          <w:rFonts w:ascii="Arial" w:hAnsi="Arial" w:cs="Arial"/>
          <w:sz w:val="20"/>
          <w:szCs w:val="20"/>
        </w:rPr>
        <w:t>). Rozdíly v pojištěních jsou například v limitech pro opravu na místě, v limitech pro vzdálenost hraze</w:t>
      </w:r>
      <w:r>
        <w:rPr>
          <w:rFonts w:ascii="Arial" w:hAnsi="Arial" w:cs="Arial"/>
          <w:sz w:val="20"/>
          <w:szCs w:val="20"/>
        </w:rPr>
        <w:t>ného odtahu, případně v možnostech</w:t>
      </w:r>
      <w:r w:rsidRPr="001C4A67">
        <w:rPr>
          <w:rFonts w:ascii="Arial" w:hAnsi="Arial" w:cs="Arial"/>
          <w:sz w:val="20"/>
          <w:szCs w:val="20"/>
        </w:rPr>
        <w:t xml:space="preserve"> náhradního vozidla.</w:t>
      </w:r>
    </w:p>
    <w:p w14:paraId="36BA7717" w14:textId="2498F472" w:rsidR="002A7AE9" w:rsidRDefault="002A7AE9" w:rsidP="001C4A67">
      <w:pPr>
        <w:pStyle w:val="Zkladntext"/>
        <w:spacing w:before="33" w:line="237" w:lineRule="auto"/>
        <w:ind w:right="38"/>
        <w:jc w:val="both"/>
        <w:rPr>
          <w:noProof/>
          <w:lang w:bidi="ar-SA"/>
        </w:rPr>
      </w:pPr>
    </w:p>
    <w:p w14:paraId="0EF790C5" w14:textId="1E10F137" w:rsidR="001C4A67" w:rsidRPr="001C4A67" w:rsidRDefault="002A7AE9" w:rsidP="001C4A67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</w:t>
      </w:r>
      <w:r w:rsidR="001C4A67" w:rsidRPr="001C4A67">
        <w:rPr>
          <w:rFonts w:ascii="Arial" w:hAnsi="Arial" w:cs="Arial"/>
          <w:b/>
          <w:sz w:val="20"/>
        </w:rPr>
        <w:t>roč je dobré index sledovat</w:t>
      </w:r>
    </w:p>
    <w:p w14:paraId="4CBE3057" w14:textId="2BD1BD50" w:rsidR="00866220" w:rsidRPr="00BB0801" w:rsidRDefault="001C4A67" w:rsidP="00241313">
      <w:pPr>
        <w:rPr>
          <w:rFonts w:ascii="Arial" w:hAnsi="Arial" w:cs="Arial"/>
          <w:sz w:val="20"/>
        </w:rPr>
      </w:pPr>
      <w:r w:rsidRPr="001C4A67">
        <w:rPr>
          <w:rFonts w:ascii="Arial" w:hAnsi="Arial" w:cs="Arial"/>
          <w:sz w:val="20"/>
        </w:rPr>
        <w:t xml:space="preserve">Broker Consulting </w:t>
      </w:r>
      <w:r w:rsidR="0067482F">
        <w:rPr>
          <w:rFonts w:ascii="Arial" w:hAnsi="Arial" w:cs="Arial"/>
          <w:sz w:val="20"/>
        </w:rPr>
        <w:t>POV</w:t>
      </w:r>
      <w:r w:rsidRPr="001C4A67">
        <w:rPr>
          <w:rFonts w:ascii="Arial" w:hAnsi="Arial" w:cs="Arial"/>
          <w:sz w:val="20"/>
        </w:rPr>
        <w:t xml:space="preserve">Index </w:t>
      </w:r>
      <w:r>
        <w:rPr>
          <w:rFonts w:ascii="Arial" w:hAnsi="Arial" w:cs="Arial"/>
          <w:sz w:val="20"/>
        </w:rPr>
        <w:t>je dlouhodo</w:t>
      </w:r>
      <w:r w:rsidRPr="001C4A67">
        <w:rPr>
          <w:rFonts w:ascii="Arial" w:hAnsi="Arial" w:cs="Arial"/>
          <w:sz w:val="20"/>
        </w:rPr>
        <w:t>bým spolehlivým ukazatelem ceny za pojištění z provozu motorového vozidla. Kdokoli</w:t>
      </w:r>
      <w:r>
        <w:rPr>
          <w:rFonts w:ascii="Arial" w:hAnsi="Arial" w:cs="Arial"/>
          <w:sz w:val="20"/>
        </w:rPr>
        <w:t xml:space="preserve"> chce zjistit, jak se historic</w:t>
      </w:r>
      <w:r w:rsidRPr="001C4A67">
        <w:rPr>
          <w:rFonts w:ascii="Arial" w:hAnsi="Arial" w:cs="Arial"/>
          <w:sz w:val="20"/>
        </w:rPr>
        <w:t>ky vyvíjely ceny za povinné ručení, nebo chce sledovat akt</w:t>
      </w:r>
      <w:r w:rsidR="0067482F">
        <w:rPr>
          <w:rFonts w:ascii="Arial" w:hAnsi="Arial" w:cs="Arial"/>
          <w:sz w:val="20"/>
        </w:rPr>
        <w:t>uální trend cen, získá díky POV</w:t>
      </w:r>
      <w:r w:rsidRPr="001C4A67">
        <w:rPr>
          <w:rFonts w:ascii="Arial" w:hAnsi="Arial" w:cs="Arial"/>
          <w:sz w:val="20"/>
        </w:rPr>
        <w:t xml:space="preserve">Indexu odpovědi, které hledá. Je dobrou pomůckou řidičům pro orientaci při koupi automobilu. </w:t>
      </w:r>
    </w:p>
    <w:p w14:paraId="49174A43" w14:textId="1D88CF19" w:rsidR="00866220" w:rsidRDefault="00866220" w:rsidP="00241313">
      <w:pPr>
        <w:rPr>
          <w:sz w:val="20"/>
        </w:rPr>
      </w:pPr>
    </w:p>
    <w:p w14:paraId="247DB4FF" w14:textId="4404F42A" w:rsidR="00866220" w:rsidRDefault="00866220" w:rsidP="00241313">
      <w:pPr>
        <w:rPr>
          <w:sz w:val="20"/>
        </w:rPr>
      </w:pPr>
    </w:p>
    <w:p w14:paraId="65EB9FEA" w14:textId="24570836" w:rsidR="00866220" w:rsidRDefault="00866220" w:rsidP="00241313">
      <w:pPr>
        <w:rPr>
          <w:sz w:val="20"/>
        </w:rPr>
      </w:pPr>
    </w:p>
    <w:p w14:paraId="39E2CD52" w14:textId="77777777" w:rsidR="00866220" w:rsidRDefault="00866220" w:rsidP="00241313">
      <w:pPr>
        <w:rPr>
          <w:sz w:val="20"/>
        </w:rPr>
      </w:pPr>
    </w:p>
    <w:p w14:paraId="4D1052A1" w14:textId="063EB92B" w:rsidR="00866220" w:rsidRDefault="00866220" w:rsidP="00241313">
      <w:pPr>
        <w:rPr>
          <w:sz w:val="20"/>
        </w:rPr>
      </w:pPr>
    </w:p>
    <w:p w14:paraId="03BF151F" w14:textId="77777777" w:rsidR="00866220" w:rsidRDefault="00866220" w:rsidP="00866220">
      <w:pPr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549A0307" w14:textId="77777777" w:rsidR="00866220" w:rsidRPr="00866220" w:rsidRDefault="00866220" w:rsidP="00866220">
      <w:pPr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sz w:val="20"/>
        </w:rPr>
        <w:br/>
      </w:r>
      <w:r w:rsidRPr="00866220">
        <w:rPr>
          <w:rFonts w:ascii="Arial" w:eastAsia="Calibri" w:hAnsi="Arial" w:cs="Arial"/>
          <w:bCs/>
          <w:noProof/>
          <w:sz w:val="18"/>
          <w:szCs w:val="18"/>
        </w:rPr>
        <w:t>Tereza Kunová</w:t>
      </w:r>
    </w:p>
    <w:p w14:paraId="3373094C" w14:textId="77777777" w:rsidR="00866220" w:rsidRPr="00D60D98" w:rsidRDefault="00866220" w:rsidP="00866220">
      <w:pPr>
        <w:spacing w:after="225"/>
        <w:rPr>
          <w:rFonts w:ascii="Arial" w:eastAsia="Calibri" w:hAnsi="Arial" w:cs="Arial"/>
          <w:noProof/>
          <w:sz w:val="18"/>
          <w:szCs w:val="18"/>
        </w:rPr>
      </w:pPr>
      <w:r w:rsidRPr="00D60D98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F3875B6" w14:textId="77777777" w:rsidR="00866220" w:rsidRPr="00D60D98" w:rsidRDefault="00866220" w:rsidP="00866220">
      <w:pPr>
        <w:rPr>
          <w:rFonts w:ascii="Arial" w:eastAsia="Calibri" w:hAnsi="Arial" w:cs="Arial"/>
          <w:noProof/>
          <w:sz w:val="18"/>
          <w:szCs w:val="18"/>
        </w:rPr>
      </w:pPr>
      <w:r>
        <w:rPr>
          <w:rFonts w:ascii="Arial" w:eastAsia="Calibri" w:hAnsi="Arial" w:cs="Arial"/>
          <w:noProof/>
          <w:sz w:val="18"/>
          <w:szCs w:val="18"/>
        </w:rPr>
        <w:t>M</w:t>
      </w:r>
      <w:r w:rsidRPr="00D60D98">
        <w:rPr>
          <w:rFonts w:ascii="Arial" w:eastAsia="Calibri" w:hAnsi="Arial" w:cs="Arial"/>
          <w:noProof/>
          <w:sz w:val="18"/>
          <w:szCs w:val="18"/>
        </w:rPr>
        <w:t>obil: +420 731 537 716</w:t>
      </w:r>
    </w:p>
    <w:p w14:paraId="2F524F75" w14:textId="1113B609" w:rsidR="00866220" w:rsidRDefault="00866220" w:rsidP="00241313">
      <w:pPr>
        <w:rPr>
          <w:rFonts w:ascii="Arial" w:eastAsia="Calibri" w:hAnsi="Arial" w:cs="Arial"/>
          <w:noProof/>
          <w:sz w:val="18"/>
          <w:szCs w:val="18"/>
        </w:rPr>
      </w:pPr>
      <w:r>
        <w:rPr>
          <w:rFonts w:ascii="Arial" w:eastAsia="Calibri" w:hAnsi="Arial" w:cs="Arial"/>
          <w:noProof/>
          <w:sz w:val="18"/>
          <w:szCs w:val="18"/>
        </w:rPr>
        <w:t>E</w:t>
      </w:r>
      <w:r w:rsidRPr="00D60D98">
        <w:rPr>
          <w:rFonts w:ascii="Arial" w:eastAsia="Calibri" w:hAnsi="Arial" w:cs="Arial"/>
          <w:noProof/>
          <w:sz w:val="18"/>
          <w:szCs w:val="18"/>
        </w:rPr>
        <w:t xml:space="preserve">-mail: </w:t>
      </w:r>
      <w:hyperlink r:id="rId25" w:history="1">
        <w:r w:rsidRPr="00D60D9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D60D9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3C3B347D" w14:textId="4659623F" w:rsidR="004C7BB5" w:rsidRDefault="004C7BB5" w:rsidP="00241313">
      <w:pPr>
        <w:rPr>
          <w:rFonts w:ascii="Arial" w:eastAsia="Calibri" w:hAnsi="Arial" w:cs="Arial"/>
          <w:noProof/>
          <w:sz w:val="18"/>
          <w:szCs w:val="18"/>
        </w:rPr>
      </w:pPr>
    </w:p>
    <w:p w14:paraId="6FC0F9F5" w14:textId="4E60524C" w:rsidR="004C7BB5" w:rsidRPr="00D82E2D" w:rsidRDefault="004C7BB5" w:rsidP="00D82E2D">
      <w:pPr>
        <w:widowControl/>
        <w:shd w:val="clear" w:color="auto" w:fill="FFFFFF"/>
        <w:autoSpaceDE/>
        <w:autoSpaceDN/>
        <w:spacing w:after="255"/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</w:pPr>
    </w:p>
    <w:sectPr w:rsidR="004C7BB5" w:rsidRPr="00D82E2D" w:rsidSect="00EB06C5">
      <w:type w:val="continuous"/>
      <w:pgSz w:w="11910" w:h="16840"/>
      <w:pgMar w:top="1985" w:right="711" w:bottom="241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6BA21" w14:textId="77777777" w:rsidR="00C805EF" w:rsidRDefault="00C805EF">
      <w:r>
        <w:separator/>
      </w:r>
    </w:p>
  </w:endnote>
  <w:endnote w:type="continuationSeparator" w:id="0">
    <w:p w14:paraId="5C88D0DF" w14:textId="77777777" w:rsidR="00C805EF" w:rsidRDefault="00C8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4D6BC1D" w:rsidR="00D80B6D" w:rsidRPr="00153161" w:rsidRDefault="00C805E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153161" w:rsidRPr="00153161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4D6BC1D" w:rsidR="00D80B6D" w:rsidRPr="00153161" w:rsidRDefault="003B4B9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153161" w:rsidRPr="00153161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C805E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3B4B9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C805EF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3B4B9E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766D34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A563" w14:textId="4B4F883C" w:rsidR="00D8513A" w:rsidRPr="00D8513A" w:rsidRDefault="00D8513A" w:rsidP="00153161">
    <w:pPr>
      <w:spacing w:line="220" w:lineRule="exact"/>
      <w:ind w:left="403" w:firstLine="590"/>
      <w:rPr>
        <w:rFonts w:ascii="Arial" w:hAnsi="Arial" w:cs="Arial"/>
        <w:sz w:val="18"/>
        <w:szCs w:val="18"/>
      </w:rPr>
    </w:pP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1049F" w14:textId="77777777" w:rsidR="00C805EF" w:rsidRDefault="00C805EF">
      <w:r>
        <w:separator/>
      </w:r>
    </w:p>
  </w:footnote>
  <w:footnote w:type="continuationSeparator" w:id="0">
    <w:p w14:paraId="31D70A0C" w14:textId="77777777" w:rsidR="00C805EF" w:rsidRDefault="00C80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4D1B546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3DDB233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013FC64A" w:rsidR="00B65A3B" w:rsidRPr="00B65A3B" w:rsidRDefault="00AF0BE0" w:rsidP="00B65A3B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B65A3B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B003738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127AE9A" w:rsidR="00D80B6D" w:rsidRPr="009F59EE" w:rsidRDefault="00CC7C89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9F59EE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1D7B"/>
    <w:multiLevelType w:val="hybridMultilevel"/>
    <w:tmpl w:val="7DA240D8"/>
    <w:lvl w:ilvl="0" w:tplc="04050001">
      <w:start w:val="1"/>
      <w:numFmt w:val="bullet"/>
      <w:lvlText w:val=""/>
      <w:lvlJc w:val="left"/>
      <w:pPr>
        <w:ind w:left="1185" w:hanging="211"/>
      </w:pPr>
      <w:rPr>
        <w:rFonts w:ascii="Symbol" w:hAnsi="Symbol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1657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2130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2604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3077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3551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4024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4498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971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171C521A"/>
    <w:multiLevelType w:val="multilevel"/>
    <w:tmpl w:val="CA48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3" w15:restartNumberingAfterBreak="0">
    <w:nsid w:val="543C408F"/>
    <w:multiLevelType w:val="multilevel"/>
    <w:tmpl w:val="F490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52D9"/>
    <w:rsid w:val="00005EF0"/>
    <w:rsid w:val="00010812"/>
    <w:rsid w:val="000153FB"/>
    <w:rsid w:val="00026F23"/>
    <w:rsid w:val="00032AD6"/>
    <w:rsid w:val="00032D94"/>
    <w:rsid w:val="000374D7"/>
    <w:rsid w:val="0004360D"/>
    <w:rsid w:val="000504BA"/>
    <w:rsid w:val="0005423A"/>
    <w:rsid w:val="00066A72"/>
    <w:rsid w:val="00067BA6"/>
    <w:rsid w:val="00067BED"/>
    <w:rsid w:val="00076C44"/>
    <w:rsid w:val="000866C0"/>
    <w:rsid w:val="00091509"/>
    <w:rsid w:val="000C351D"/>
    <w:rsid w:val="000D2DDE"/>
    <w:rsid w:val="000D333C"/>
    <w:rsid w:val="000D6870"/>
    <w:rsid w:val="000E286C"/>
    <w:rsid w:val="000F47AE"/>
    <w:rsid w:val="000F6249"/>
    <w:rsid w:val="00107E00"/>
    <w:rsid w:val="00114D66"/>
    <w:rsid w:val="00115CF8"/>
    <w:rsid w:val="00116173"/>
    <w:rsid w:val="0012713E"/>
    <w:rsid w:val="0013044E"/>
    <w:rsid w:val="00131F7B"/>
    <w:rsid w:val="0013512D"/>
    <w:rsid w:val="00136D21"/>
    <w:rsid w:val="00137003"/>
    <w:rsid w:val="00141303"/>
    <w:rsid w:val="00153161"/>
    <w:rsid w:val="00160060"/>
    <w:rsid w:val="001603AF"/>
    <w:rsid w:val="00177E6B"/>
    <w:rsid w:val="00194628"/>
    <w:rsid w:val="00197408"/>
    <w:rsid w:val="00197DE5"/>
    <w:rsid w:val="001A210B"/>
    <w:rsid w:val="001A54DD"/>
    <w:rsid w:val="001B195D"/>
    <w:rsid w:val="001B1C05"/>
    <w:rsid w:val="001B5D34"/>
    <w:rsid w:val="001B79AC"/>
    <w:rsid w:val="001C4A67"/>
    <w:rsid w:val="001E68DE"/>
    <w:rsid w:val="002108A4"/>
    <w:rsid w:val="00214949"/>
    <w:rsid w:val="00237D4E"/>
    <w:rsid w:val="00241313"/>
    <w:rsid w:val="002506AD"/>
    <w:rsid w:val="0025264B"/>
    <w:rsid w:val="00267A14"/>
    <w:rsid w:val="00270DB3"/>
    <w:rsid w:val="0028080D"/>
    <w:rsid w:val="002A7AE9"/>
    <w:rsid w:val="002B053B"/>
    <w:rsid w:val="002B3EE0"/>
    <w:rsid w:val="002B5B4B"/>
    <w:rsid w:val="002C635D"/>
    <w:rsid w:val="002E27C5"/>
    <w:rsid w:val="002F0335"/>
    <w:rsid w:val="002F0C79"/>
    <w:rsid w:val="00302AE6"/>
    <w:rsid w:val="0030477F"/>
    <w:rsid w:val="00307D0F"/>
    <w:rsid w:val="003128F8"/>
    <w:rsid w:val="00325CD8"/>
    <w:rsid w:val="00326268"/>
    <w:rsid w:val="00330918"/>
    <w:rsid w:val="003473B3"/>
    <w:rsid w:val="00347557"/>
    <w:rsid w:val="00352433"/>
    <w:rsid w:val="0035286E"/>
    <w:rsid w:val="0036100E"/>
    <w:rsid w:val="00363124"/>
    <w:rsid w:val="00375451"/>
    <w:rsid w:val="00390304"/>
    <w:rsid w:val="0039395A"/>
    <w:rsid w:val="003A7C59"/>
    <w:rsid w:val="003A7C9A"/>
    <w:rsid w:val="003B4B9E"/>
    <w:rsid w:val="003B54D9"/>
    <w:rsid w:val="003B7BFE"/>
    <w:rsid w:val="003C4D4B"/>
    <w:rsid w:val="003D386F"/>
    <w:rsid w:val="003D43DB"/>
    <w:rsid w:val="003D4C73"/>
    <w:rsid w:val="003D556B"/>
    <w:rsid w:val="003F38E5"/>
    <w:rsid w:val="003F73C3"/>
    <w:rsid w:val="0041224F"/>
    <w:rsid w:val="00415BA7"/>
    <w:rsid w:val="00422B4E"/>
    <w:rsid w:val="004349B6"/>
    <w:rsid w:val="00445D0A"/>
    <w:rsid w:val="00453482"/>
    <w:rsid w:val="00453CFE"/>
    <w:rsid w:val="00467207"/>
    <w:rsid w:val="004809C7"/>
    <w:rsid w:val="00483A48"/>
    <w:rsid w:val="0048779A"/>
    <w:rsid w:val="00496EFA"/>
    <w:rsid w:val="004A2E7A"/>
    <w:rsid w:val="004C798D"/>
    <w:rsid w:val="004C7BB5"/>
    <w:rsid w:val="004E1108"/>
    <w:rsid w:val="004E3877"/>
    <w:rsid w:val="004F5CC5"/>
    <w:rsid w:val="00520EA0"/>
    <w:rsid w:val="0052748B"/>
    <w:rsid w:val="005336E7"/>
    <w:rsid w:val="00543BFB"/>
    <w:rsid w:val="00543F98"/>
    <w:rsid w:val="005733BD"/>
    <w:rsid w:val="0057359A"/>
    <w:rsid w:val="00587B4C"/>
    <w:rsid w:val="0059081F"/>
    <w:rsid w:val="00596E22"/>
    <w:rsid w:val="005A61D5"/>
    <w:rsid w:val="005A6E1C"/>
    <w:rsid w:val="005B13F7"/>
    <w:rsid w:val="005D5B42"/>
    <w:rsid w:val="005E443E"/>
    <w:rsid w:val="005E4C96"/>
    <w:rsid w:val="005F31C1"/>
    <w:rsid w:val="006033BD"/>
    <w:rsid w:val="00624C21"/>
    <w:rsid w:val="00640494"/>
    <w:rsid w:val="00646D74"/>
    <w:rsid w:val="00650902"/>
    <w:rsid w:val="0065153C"/>
    <w:rsid w:val="006652BA"/>
    <w:rsid w:val="00673898"/>
    <w:rsid w:val="0067482F"/>
    <w:rsid w:val="00675503"/>
    <w:rsid w:val="00682B2C"/>
    <w:rsid w:val="00684D30"/>
    <w:rsid w:val="006856FF"/>
    <w:rsid w:val="006863D8"/>
    <w:rsid w:val="00695EEC"/>
    <w:rsid w:val="00696831"/>
    <w:rsid w:val="006B7FBE"/>
    <w:rsid w:val="006C2E50"/>
    <w:rsid w:val="006C6246"/>
    <w:rsid w:val="006C7AE7"/>
    <w:rsid w:val="006D5A9A"/>
    <w:rsid w:val="006E1F02"/>
    <w:rsid w:val="0072349E"/>
    <w:rsid w:val="007253E3"/>
    <w:rsid w:val="007255CD"/>
    <w:rsid w:val="007334EA"/>
    <w:rsid w:val="00735F36"/>
    <w:rsid w:val="00737025"/>
    <w:rsid w:val="007541EF"/>
    <w:rsid w:val="007652AE"/>
    <w:rsid w:val="00781039"/>
    <w:rsid w:val="007B0579"/>
    <w:rsid w:val="007D6B10"/>
    <w:rsid w:val="007E30B0"/>
    <w:rsid w:val="007E37C0"/>
    <w:rsid w:val="007E6279"/>
    <w:rsid w:val="007F6C2A"/>
    <w:rsid w:val="008007F4"/>
    <w:rsid w:val="008020D3"/>
    <w:rsid w:val="00804869"/>
    <w:rsid w:val="00804908"/>
    <w:rsid w:val="0080704C"/>
    <w:rsid w:val="008120DB"/>
    <w:rsid w:val="00815ECC"/>
    <w:rsid w:val="00835736"/>
    <w:rsid w:val="00837AF9"/>
    <w:rsid w:val="00854470"/>
    <w:rsid w:val="00861B39"/>
    <w:rsid w:val="00864D3B"/>
    <w:rsid w:val="00866220"/>
    <w:rsid w:val="008672D5"/>
    <w:rsid w:val="00870A8D"/>
    <w:rsid w:val="00874C32"/>
    <w:rsid w:val="00882EAC"/>
    <w:rsid w:val="00887004"/>
    <w:rsid w:val="00892BA9"/>
    <w:rsid w:val="008A04D3"/>
    <w:rsid w:val="008A5650"/>
    <w:rsid w:val="008C3AC7"/>
    <w:rsid w:val="008C7A52"/>
    <w:rsid w:val="008E5FF5"/>
    <w:rsid w:val="0091561E"/>
    <w:rsid w:val="00915ADA"/>
    <w:rsid w:val="00917467"/>
    <w:rsid w:val="0093538A"/>
    <w:rsid w:val="009362DC"/>
    <w:rsid w:val="00937EF5"/>
    <w:rsid w:val="00960235"/>
    <w:rsid w:val="009612EF"/>
    <w:rsid w:val="00962D05"/>
    <w:rsid w:val="0096488C"/>
    <w:rsid w:val="00965007"/>
    <w:rsid w:val="00967EDE"/>
    <w:rsid w:val="009706CE"/>
    <w:rsid w:val="00976A70"/>
    <w:rsid w:val="00982774"/>
    <w:rsid w:val="00986C46"/>
    <w:rsid w:val="009B4FF9"/>
    <w:rsid w:val="009C0ECA"/>
    <w:rsid w:val="009C1B84"/>
    <w:rsid w:val="009C7478"/>
    <w:rsid w:val="009D2988"/>
    <w:rsid w:val="009D556F"/>
    <w:rsid w:val="009E3060"/>
    <w:rsid w:val="009E317D"/>
    <w:rsid w:val="009F09B6"/>
    <w:rsid w:val="009F2CB2"/>
    <w:rsid w:val="009F59EE"/>
    <w:rsid w:val="00A00614"/>
    <w:rsid w:val="00A06687"/>
    <w:rsid w:val="00A15C5F"/>
    <w:rsid w:val="00A1706A"/>
    <w:rsid w:val="00A2129E"/>
    <w:rsid w:val="00A267CE"/>
    <w:rsid w:val="00A34404"/>
    <w:rsid w:val="00A351F4"/>
    <w:rsid w:val="00A36D79"/>
    <w:rsid w:val="00A52E40"/>
    <w:rsid w:val="00A672EA"/>
    <w:rsid w:val="00A67865"/>
    <w:rsid w:val="00A706DB"/>
    <w:rsid w:val="00A85069"/>
    <w:rsid w:val="00A902B4"/>
    <w:rsid w:val="00AA1EF9"/>
    <w:rsid w:val="00AA3C5C"/>
    <w:rsid w:val="00AB253A"/>
    <w:rsid w:val="00AC0B97"/>
    <w:rsid w:val="00AC14FC"/>
    <w:rsid w:val="00AC1B87"/>
    <w:rsid w:val="00AD3089"/>
    <w:rsid w:val="00AE4CC4"/>
    <w:rsid w:val="00AE662F"/>
    <w:rsid w:val="00AE7AFA"/>
    <w:rsid w:val="00AF080F"/>
    <w:rsid w:val="00AF0BE0"/>
    <w:rsid w:val="00AF2D1B"/>
    <w:rsid w:val="00B00B35"/>
    <w:rsid w:val="00B0598D"/>
    <w:rsid w:val="00B066DB"/>
    <w:rsid w:val="00B0741A"/>
    <w:rsid w:val="00B15FD4"/>
    <w:rsid w:val="00B177AF"/>
    <w:rsid w:val="00B21A92"/>
    <w:rsid w:val="00B21D7F"/>
    <w:rsid w:val="00B244B9"/>
    <w:rsid w:val="00B24AB2"/>
    <w:rsid w:val="00B30195"/>
    <w:rsid w:val="00B3074F"/>
    <w:rsid w:val="00B41012"/>
    <w:rsid w:val="00B45ED0"/>
    <w:rsid w:val="00B45F71"/>
    <w:rsid w:val="00B52B36"/>
    <w:rsid w:val="00B6512E"/>
    <w:rsid w:val="00B65A3B"/>
    <w:rsid w:val="00B708C9"/>
    <w:rsid w:val="00B70A80"/>
    <w:rsid w:val="00B7116F"/>
    <w:rsid w:val="00B714D3"/>
    <w:rsid w:val="00B777C3"/>
    <w:rsid w:val="00B95EBA"/>
    <w:rsid w:val="00BA29AE"/>
    <w:rsid w:val="00BA6059"/>
    <w:rsid w:val="00BA6DBC"/>
    <w:rsid w:val="00BB0801"/>
    <w:rsid w:val="00BB5F03"/>
    <w:rsid w:val="00BC30D1"/>
    <w:rsid w:val="00BD25BD"/>
    <w:rsid w:val="00BD26AB"/>
    <w:rsid w:val="00BD6A7F"/>
    <w:rsid w:val="00BD7095"/>
    <w:rsid w:val="00BE127F"/>
    <w:rsid w:val="00BE34DD"/>
    <w:rsid w:val="00BF4FA6"/>
    <w:rsid w:val="00C00860"/>
    <w:rsid w:val="00C05509"/>
    <w:rsid w:val="00C12B80"/>
    <w:rsid w:val="00C16A07"/>
    <w:rsid w:val="00C306CA"/>
    <w:rsid w:val="00C35BFC"/>
    <w:rsid w:val="00C36818"/>
    <w:rsid w:val="00C36E73"/>
    <w:rsid w:val="00C40157"/>
    <w:rsid w:val="00C42096"/>
    <w:rsid w:val="00C50A39"/>
    <w:rsid w:val="00C5726E"/>
    <w:rsid w:val="00C6048F"/>
    <w:rsid w:val="00C64B40"/>
    <w:rsid w:val="00C76BA2"/>
    <w:rsid w:val="00C805EF"/>
    <w:rsid w:val="00C85AB7"/>
    <w:rsid w:val="00CB1985"/>
    <w:rsid w:val="00CB432F"/>
    <w:rsid w:val="00CC5BEB"/>
    <w:rsid w:val="00CC7C89"/>
    <w:rsid w:val="00CD3324"/>
    <w:rsid w:val="00CD3C1E"/>
    <w:rsid w:val="00CE2578"/>
    <w:rsid w:val="00CF10DA"/>
    <w:rsid w:val="00CF2718"/>
    <w:rsid w:val="00D01832"/>
    <w:rsid w:val="00D132FF"/>
    <w:rsid w:val="00D21B27"/>
    <w:rsid w:val="00D23669"/>
    <w:rsid w:val="00D25B0B"/>
    <w:rsid w:val="00D31127"/>
    <w:rsid w:val="00D423AD"/>
    <w:rsid w:val="00D46528"/>
    <w:rsid w:val="00D4733D"/>
    <w:rsid w:val="00D631AE"/>
    <w:rsid w:val="00D63DD3"/>
    <w:rsid w:val="00D80B6D"/>
    <w:rsid w:val="00D82E2D"/>
    <w:rsid w:val="00D8513A"/>
    <w:rsid w:val="00D87CCE"/>
    <w:rsid w:val="00DA327C"/>
    <w:rsid w:val="00DA576C"/>
    <w:rsid w:val="00DB365A"/>
    <w:rsid w:val="00DB4335"/>
    <w:rsid w:val="00DC6AB6"/>
    <w:rsid w:val="00DD1EC1"/>
    <w:rsid w:val="00DE448F"/>
    <w:rsid w:val="00DF006F"/>
    <w:rsid w:val="00DF2A53"/>
    <w:rsid w:val="00DF388B"/>
    <w:rsid w:val="00E04F7B"/>
    <w:rsid w:val="00E16FE8"/>
    <w:rsid w:val="00E17539"/>
    <w:rsid w:val="00E343B0"/>
    <w:rsid w:val="00E364A9"/>
    <w:rsid w:val="00E57D1A"/>
    <w:rsid w:val="00E60E78"/>
    <w:rsid w:val="00E669EF"/>
    <w:rsid w:val="00E67800"/>
    <w:rsid w:val="00E71D31"/>
    <w:rsid w:val="00E72BA8"/>
    <w:rsid w:val="00E83CCD"/>
    <w:rsid w:val="00E847E6"/>
    <w:rsid w:val="00E90FB8"/>
    <w:rsid w:val="00E938B3"/>
    <w:rsid w:val="00E9495C"/>
    <w:rsid w:val="00EA47AD"/>
    <w:rsid w:val="00EB06C5"/>
    <w:rsid w:val="00EB5B94"/>
    <w:rsid w:val="00EF62F8"/>
    <w:rsid w:val="00F040CA"/>
    <w:rsid w:val="00F06420"/>
    <w:rsid w:val="00F06844"/>
    <w:rsid w:val="00F161D2"/>
    <w:rsid w:val="00F257ED"/>
    <w:rsid w:val="00F27366"/>
    <w:rsid w:val="00F30BB8"/>
    <w:rsid w:val="00F33E63"/>
    <w:rsid w:val="00F366A6"/>
    <w:rsid w:val="00F37E08"/>
    <w:rsid w:val="00F44AEB"/>
    <w:rsid w:val="00F45620"/>
    <w:rsid w:val="00F51C8D"/>
    <w:rsid w:val="00F52462"/>
    <w:rsid w:val="00F542F8"/>
    <w:rsid w:val="00F739AD"/>
    <w:rsid w:val="00F76B0E"/>
    <w:rsid w:val="00F95B39"/>
    <w:rsid w:val="00FB551F"/>
    <w:rsid w:val="00FC1254"/>
    <w:rsid w:val="00FC33AA"/>
    <w:rsid w:val="00FD5578"/>
    <w:rsid w:val="00FE6DB7"/>
    <w:rsid w:val="00FE7E9A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920B6"/>
  <w15:docId w15:val="{9527DFC0-C2EA-4679-B81A-02DF3229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D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Siln">
    <w:name w:val="Strong"/>
    <w:basedOn w:val="Standardnpsmoodstavce"/>
    <w:uiPriority w:val="22"/>
    <w:qFormat/>
    <w:rsid w:val="0085447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6048F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D87CCE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DB7"/>
    <w:rPr>
      <w:rFonts w:asciiTheme="majorHAnsi" w:eastAsiaTheme="majorEastAsia" w:hAnsiTheme="majorHAnsi" w:cstheme="majorBidi"/>
      <w:i/>
      <w:iCs/>
      <w:color w:val="365F91" w:themeColor="accent1" w:themeShade="BF"/>
      <w:lang w:val="cs-CZ" w:eastAsia="cs-CZ" w:bidi="cs-CZ"/>
    </w:rPr>
  </w:style>
  <w:style w:type="character" w:customStyle="1" w:styleId="article-hl">
    <w:name w:val="article-hl"/>
    <w:basedOn w:val="Standardnpsmoodstavce"/>
    <w:rsid w:val="00F3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786541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roker.Consulting/" TargetMode="External"/><Relationship Id="rId17" Type="http://schemas.openxmlformats.org/officeDocument/2006/relationships/footer" Target="foot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ityspolu.cz" TargetMode="External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668151/" TargetMode="External"/><Relationship Id="rId23" Type="http://schemas.openxmlformats.org/officeDocument/2006/relationships/footer" Target="footer4.xml"/><Relationship Id="rId10" Type="http://schemas.openxmlformats.org/officeDocument/2006/relationships/hyperlink" Target="http://www.okpointy.cz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facebook.com/okpointy/" TargetMode="Externa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vachal\Desktop\POV%20index\POVindex_02_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b="1"/>
              <a:t>Vývoj Broker Consulting POVIndexu od srpna 2019</a:t>
            </a:r>
          </a:p>
        </c:rich>
      </c:tx>
      <c:layout>
        <c:manualLayout>
          <c:xMode val="edge"/>
          <c:yMode val="edge"/>
          <c:x val="0.17113769891658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452246538510647E-2"/>
          <c:y val="0.11881749273268147"/>
          <c:w val="0.90657217724352501"/>
          <c:h val="0.7283450890047443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  <a:sp3d>
              <a:contourClr>
                <a:srgbClr val="FF0000"/>
              </a:contourClr>
            </a:sp3d>
          </c:spPr>
          <c:invertIfNegative val="0"/>
          <c:dLbls>
            <c:dLbl>
              <c:idx val="0"/>
              <c:layout>
                <c:manualLayout>
                  <c:x val="6.9698407753205176E-3"/>
                  <c:y val="-2.677649844331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2F-4B33-9FF2-D5A27079C685}"/>
                </c:ext>
              </c:extLst>
            </c:dLbl>
            <c:dLbl>
              <c:idx val="1"/>
              <c:layout>
                <c:manualLayout>
                  <c:x val="1.664382742521894E-2"/>
                  <c:y val="-3.1100056007643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2F-4B33-9FF2-D5A27079C685}"/>
                </c:ext>
              </c:extLst>
            </c:dLbl>
            <c:dLbl>
              <c:idx val="2"/>
              <c:layout>
                <c:manualLayout>
                  <c:x val="5.081661396756091E-3"/>
                  <c:y val="-2.51283898501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2F-4B33-9FF2-D5A27079C685}"/>
                </c:ext>
              </c:extLst>
            </c:dLbl>
            <c:dLbl>
              <c:idx val="3"/>
              <c:layout>
                <c:manualLayout>
                  <c:x val="5.6268019704463518E-2"/>
                  <c:y val="6.75800356416122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2F-4B33-9FF2-D5A27079C685}"/>
                </c:ext>
              </c:extLst>
            </c:dLbl>
            <c:dLbl>
              <c:idx val="4"/>
              <c:layout>
                <c:manualLayout>
                  <c:x val="6.1349833447465708E-3"/>
                  <c:y val="-4.68751029552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2F-4B33-9FF2-D5A27079C685}"/>
                </c:ext>
              </c:extLst>
            </c:dLbl>
            <c:dLbl>
              <c:idx val="5"/>
              <c:layout>
                <c:manualLayout>
                  <c:x val="8.1799591002044997E-3"/>
                  <c:y val="-2.259423307404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2F-4B33-9FF2-D5A27079C685}"/>
                </c:ext>
              </c:extLst>
            </c:dLbl>
            <c:dLbl>
              <c:idx val="6"/>
              <c:layout>
                <c:manualLayout>
                  <c:x val="1.2269966689493213E-2"/>
                  <c:y val="-4.7280334728033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2F-4B33-9FF2-D5A27079C685}"/>
                </c:ext>
              </c:extLst>
            </c:dLbl>
            <c:dLbl>
              <c:idx val="7"/>
              <c:layout>
                <c:manualLayout>
                  <c:x val="2.5593102980730486E-2"/>
                  <c:y val="-3.8785366161336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2F-4B33-9FF2-D5A27079C685}"/>
                </c:ext>
              </c:extLst>
            </c:dLbl>
            <c:dLbl>
              <c:idx val="8"/>
              <c:layout>
                <c:manualLayout>
                  <c:x val="5.5287976301017904E-3"/>
                  <c:y val="-5.043688359179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2F-4B33-9FF2-D5A27079C685}"/>
                </c:ext>
              </c:extLst>
            </c:dLbl>
            <c:dLbl>
              <c:idx val="9"/>
              <c:layout>
                <c:manualLayout>
                  <c:x val="1.4927037573916495E-2"/>
                  <c:y val="-8.6537461665528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2F-4B33-9FF2-D5A27079C685}"/>
                </c:ext>
              </c:extLst>
            </c:dLbl>
            <c:dLbl>
              <c:idx val="10"/>
              <c:layout>
                <c:manualLayout>
                  <c:x val="3.6858334844912027E-3"/>
                  <c:y val="-6.0251288197448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2F-4B33-9FF2-D5A27079C685}"/>
                </c:ext>
              </c:extLst>
            </c:dLbl>
            <c:dLbl>
              <c:idx val="11"/>
              <c:layout>
                <c:manualLayout>
                  <c:x val="1.1057500453473607E-2"/>
                  <c:y val="-2.6359938586383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2F-4B33-9FF2-D5A27079C685}"/>
                </c:ext>
              </c:extLst>
            </c:dLbl>
            <c:dLbl>
              <c:idx val="12"/>
              <c:layout>
                <c:manualLayout>
                  <c:x val="1.9347973299795426E-3"/>
                  <c:y val="-1.337613697164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2F-4B33-9FF2-D5A27079C685}"/>
                </c:ext>
              </c:extLst>
            </c:dLbl>
            <c:dLbl>
              <c:idx val="13"/>
              <c:layout>
                <c:manualLayout>
                  <c:x val="-7.7391893199187387E-3"/>
                  <c:y val="-4.3592341834309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2F-4B33-9FF2-D5A27079C685}"/>
                </c:ext>
              </c:extLst>
            </c:dLbl>
            <c:dLbl>
              <c:idx val="14"/>
              <c:layout>
                <c:manualLayout>
                  <c:x val="1.644570113170395E-2"/>
                  <c:y val="2.691063633005019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6 681 Kč</a:t>
                    </a:r>
                  </a:p>
                  <a:p>
                    <a:pPr>
                      <a:defRPr sz="800" b="1"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984832407702912E-2"/>
                      <c:h val="5.51753694957367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D5C4-46E6-8434-325B94B32EC2}"/>
                </c:ext>
              </c:extLst>
            </c:dLbl>
            <c:dLbl>
              <c:idx val="15"/>
              <c:layout>
                <c:manualLayout>
                  <c:x val="3.8695946599593693E-3"/>
                  <c:y val="-3.47778861269489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6 702 Kč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2F-4B33-9FF2-D5A27079C685}"/>
                </c:ext>
              </c:extLst>
            </c:dLbl>
            <c:dLbl>
              <c:idx val="16"/>
              <c:layout>
                <c:manualLayout>
                  <c:x val="1.1608783979878108E-2"/>
                  <c:y val="-2.675227394328517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6 620 Kč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2F-4B33-9FF2-D5A27079C685}"/>
                </c:ext>
              </c:extLst>
            </c:dLbl>
            <c:dLbl>
              <c:idx val="17"/>
              <c:layout>
                <c:manualLayout>
                  <c:x val="1.1608783979878108E-2"/>
                  <c:y val="-5.2402633231886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6 682 Kč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2F-4B33-9FF2-D5A27079C6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Graf!$A$3:$A$20</c:f>
              <c:strCache>
                <c:ptCount val="18"/>
                <c:pt idx="0">
                  <c:v>9/2019</c:v>
                </c:pt>
                <c:pt idx="1">
                  <c:v>10/2019</c:v>
                </c:pt>
                <c:pt idx="2">
                  <c:v>11/2019</c:v>
                </c:pt>
                <c:pt idx="3">
                  <c:v>12/2019</c:v>
                </c:pt>
                <c:pt idx="4">
                  <c:v>1/2020</c:v>
                </c:pt>
                <c:pt idx="5">
                  <c:v>2/2020</c:v>
                </c:pt>
                <c:pt idx="6">
                  <c:v>3/2020</c:v>
                </c:pt>
                <c:pt idx="7">
                  <c:v>4/2020</c:v>
                </c:pt>
                <c:pt idx="8">
                  <c:v>5/2020</c:v>
                </c:pt>
                <c:pt idx="9">
                  <c:v>6/2020</c:v>
                </c:pt>
                <c:pt idx="10">
                  <c:v>7/2020</c:v>
                </c:pt>
                <c:pt idx="11">
                  <c:v>8/2020</c:v>
                </c:pt>
                <c:pt idx="12">
                  <c:v>9/2020</c:v>
                </c:pt>
                <c:pt idx="13">
                  <c:v>10/2020</c:v>
                </c:pt>
                <c:pt idx="14">
                  <c:v>11/2020</c:v>
                </c:pt>
                <c:pt idx="15">
                  <c:v>12/2020</c:v>
                </c:pt>
                <c:pt idx="16">
                  <c:v>01/2021</c:v>
                </c:pt>
                <c:pt idx="17">
                  <c:v>02/2021</c:v>
                </c:pt>
              </c:strCache>
            </c:strRef>
          </c:cat>
          <c:val>
            <c:numRef>
              <c:f>Graf!$B$3:$B$20</c:f>
              <c:numCache>
                <c:formatCode>#\ ##0\ "Kč"</c:formatCode>
                <c:ptCount val="18"/>
                <c:pt idx="0">
                  <c:v>7569</c:v>
                </c:pt>
                <c:pt idx="1">
                  <c:v>7653</c:v>
                </c:pt>
                <c:pt idx="2">
                  <c:v>7524</c:v>
                </c:pt>
                <c:pt idx="3">
                  <c:v>7655</c:v>
                </c:pt>
                <c:pt idx="4">
                  <c:v>6829</c:v>
                </c:pt>
                <c:pt idx="5">
                  <c:v>6779</c:v>
                </c:pt>
                <c:pt idx="6">
                  <c:v>6819</c:v>
                </c:pt>
                <c:pt idx="7">
                  <c:v>6712</c:v>
                </c:pt>
                <c:pt idx="8">
                  <c:v>6543</c:v>
                </c:pt>
                <c:pt idx="9">
                  <c:v>6580</c:v>
                </c:pt>
                <c:pt idx="10">
                  <c:v>6578</c:v>
                </c:pt>
                <c:pt idx="11">
                  <c:v>6517</c:v>
                </c:pt>
                <c:pt idx="12">
                  <c:v>6410</c:v>
                </c:pt>
                <c:pt idx="13">
                  <c:v>6460</c:v>
                </c:pt>
                <c:pt idx="14" formatCode="&quot;Kč&quot;#,##0_);[Red]\(&quot;Kč&quot;#,##0\)">
                  <c:v>6681</c:v>
                </c:pt>
                <c:pt idx="15" formatCode="&quot;Kč&quot;#,##0_);[Red]\(&quot;Kč&quot;#,##0\)">
                  <c:v>6702</c:v>
                </c:pt>
                <c:pt idx="16" formatCode="&quot;Kč&quot;#,##0_);[Red]\(&quot;Kč&quot;#,##0\)">
                  <c:v>6620</c:v>
                </c:pt>
                <c:pt idx="17" formatCode="&quot;Kč&quot;#,##0_);[Red]\(&quot;Kč&quot;#,##0\)">
                  <c:v>6682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52F-4B33-9FF2-D5A27079C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466928"/>
        <c:axId val="305467760"/>
        <c:axId val="0"/>
      </c:bar3DChart>
      <c:catAx>
        <c:axId val="30546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05467760"/>
        <c:crosses val="autoZero"/>
        <c:auto val="1"/>
        <c:lblAlgn val="ctr"/>
        <c:lblOffset val="100"/>
        <c:noMultiLvlLbl val="0"/>
      </c:catAx>
      <c:valAx>
        <c:axId val="30546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Kč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0546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CA1F6-4BA9-4D3B-A76C-636D2A0C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1011</Words>
  <Characters>5971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9</cp:revision>
  <dcterms:created xsi:type="dcterms:W3CDTF">2021-03-16T19:42:00Z</dcterms:created>
  <dcterms:modified xsi:type="dcterms:W3CDTF">2021-03-23T09:19:00Z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