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520E89B2" w:rsidR="00D31127" w:rsidRPr="00D80B6D" w:rsidRDefault="00D31127" w:rsidP="0025264B">
      <w:pPr>
        <w:rPr>
          <w:rFonts w:ascii="Arial" w:hAnsi="Arial" w:cs="Arial"/>
          <w:b/>
          <w:sz w:val="20"/>
          <w:szCs w:val="20"/>
        </w:rPr>
        <w:sectPr w:rsidR="00D31127" w:rsidRPr="00D80B6D" w:rsidSect="00D80B6D">
          <w:footerReference w:type="default" r:id="rId8"/>
          <w:headerReference w:type="first" r:id="rId9"/>
          <w:footerReference w:type="first" r:id="rId10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73E8CEA6" w14:textId="77777777" w:rsidR="003F061B" w:rsidRDefault="003F061B" w:rsidP="003F061B">
      <w:pPr>
        <w:jc w:val="center"/>
        <w:rPr>
          <w:rFonts w:ascii="Arial" w:hAnsi="Arial" w:cs="Arial"/>
          <w:b/>
          <w:sz w:val="28"/>
          <w:szCs w:val="28"/>
        </w:rPr>
      </w:pPr>
    </w:p>
    <w:p w14:paraId="2B0B0AA9" w14:textId="77777777" w:rsidR="003F061B" w:rsidRDefault="003F061B" w:rsidP="003F061B">
      <w:pPr>
        <w:jc w:val="center"/>
        <w:rPr>
          <w:rFonts w:ascii="Arial" w:hAnsi="Arial" w:cs="Arial"/>
          <w:b/>
          <w:sz w:val="28"/>
          <w:szCs w:val="28"/>
        </w:rPr>
      </w:pPr>
    </w:p>
    <w:p w14:paraId="31AD7438" w14:textId="44E111F6" w:rsidR="001364B6" w:rsidRPr="009057C8" w:rsidRDefault="00392F65" w:rsidP="003F061B">
      <w:pPr>
        <w:jc w:val="center"/>
        <w:rPr>
          <w:rFonts w:ascii="Arial" w:hAnsi="Arial" w:cs="Arial"/>
          <w:b/>
          <w:sz w:val="30"/>
          <w:szCs w:val="30"/>
        </w:rPr>
      </w:pPr>
      <w:r w:rsidRPr="009057C8">
        <w:rPr>
          <w:rFonts w:ascii="Arial" w:hAnsi="Arial" w:cs="Arial"/>
          <w:b/>
          <w:sz w:val="30"/>
          <w:szCs w:val="30"/>
        </w:rPr>
        <w:t xml:space="preserve">Skupina </w:t>
      </w:r>
      <w:r w:rsidR="007F39FB" w:rsidRPr="009057C8">
        <w:rPr>
          <w:rFonts w:ascii="Arial" w:hAnsi="Arial" w:cs="Arial"/>
          <w:b/>
          <w:sz w:val="30"/>
          <w:szCs w:val="30"/>
        </w:rPr>
        <w:t xml:space="preserve">Broker Consulting </w:t>
      </w:r>
      <w:r w:rsidR="00FD14D5" w:rsidRPr="009057C8">
        <w:rPr>
          <w:rFonts w:ascii="Arial" w:hAnsi="Arial" w:cs="Arial"/>
          <w:b/>
          <w:sz w:val="30"/>
          <w:szCs w:val="30"/>
        </w:rPr>
        <w:t xml:space="preserve">zahajuje </w:t>
      </w:r>
      <w:r w:rsidR="00094C65" w:rsidRPr="009057C8">
        <w:rPr>
          <w:rFonts w:ascii="Arial" w:hAnsi="Arial" w:cs="Arial"/>
          <w:b/>
          <w:sz w:val="30"/>
          <w:szCs w:val="30"/>
        </w:rPr>
        <w:t xml:space="preserve">výstavbu developerských projektů napříč </w:t>
      </w:r>
      <w:r w:rsidR="00EB03B8" w:rsidRPr="009057C8">
        <w:rPr>
          <w:rFonts w:ascii="Arial" w:hAnsi="Arial" w:cs="Arial"/>
          <w:b/>
          <w:sz w:val="30"/>
          <w:szCs w:val="30"/>
        </w:rPr>
        <w:t xml:space="preserve">Českou </w:t>
      </w:r>
      <w:r w:rsidR="00094C65" w:rsidRPr="009057C8">
        <w:rPr>
          <w:rFonts w:ascii="Arial" w:hAnsi="Arial" w:cs="Arial"/>
          <w:b/>
          <w:sz w:val="30"/>
          <w:szCs w:val="30"/>
        </w:rPr>
        <w:t>republikou</w:t>
      </w:r>
    </w:p>
    <w:p w14:paraId="2ECF404C" w14:textId="77777777" w:rsidR="00C411C6" w:rsidRPr="007B144F" w:rsidRDefault="00C411C6" w:rsidP="00D502DC">
      <w:pPr>
        <w:rPr>
          <w:rFonts w:ascii="Arial" w:hAnsi="Arial" w:cs="Arial"/>
          <w:bCs/>
          <w:sz w:val="20"/>
          <w:szCs w:val="20"/>
        </w:rPr>
      </w:pPr>
    </w:p>
    <w:p w14:paraId="16EAB069" w14:textId="61CFF54E" w:rsidR="00BB0B1D" w:rsidRPr="007B144F" w:rsidRDefault="0038398B" w:rsidP="003E050B">
      <w:pPr>
        <w:jc w:val="both"/>
        <w:rPr>
          <w:rFonts w:ascii="Arial" w:hAnsi="Arial" w:cs="Arial"/>
          <w:b/>
          <w:sz w:val="20"/>
          <w:szCs w:val="20"/>
        </w:rPr>
      </w:pPr>
      <w:r w:rsidRPr="009057C8">
        <w:rPr>
          <w:rFonts w:ascii="Arial" w:hAnsi="Arial" w:cs="Arial"/>
          <w:i/>
          <w:iCs/>
          <w:sz w:val="20"/>
          <w:szCs w:val="20"/>
        </w:rPr>
        <w:t xml:space="preserve">Praha, </w:t>
      </w:r>
      <w:r w:rsidR="002734C4">
        <w:rPr>
          <w:rFonts w:ascii="Arial" w:hAnsi="Arial" w:cs="Arial"/>
          <w:i/>
          <w:iCs/>
          <w:sz w:val="20"/>
          <w:szCs w:val="20"/>
        </w:rPr>
        <w:t>11</w:t>
      </w:r>
      <w:bookmarkStart w:id="0" w:name="_GoBack"/>
      <w:bookmarkEnd w:id="0"/>
      <w:r w:rsidRPr="009057C8">
        <w:rPr>
          <w:rFonts w:ascii="Arial" w:hAnsi="Arial" w:cs="Arial"/>
          <w:i/>
          <w:iCs/>
          <w:sz w:val="20"/>
          <w:szCs w:val="20"/>
        </w:rPr>
        <w:t xml:space="preserve">. </w:t>
      </w:r>
      <w:r w:rsidR="009541FF" w:rsidRPr="009057C8">
        <w:rPr>
          <w:rFonts w:ascii="Arial" w:hAnsi="Arial" w:cs="Arial"/>
          <w:i/>
          <w:iCs/>
          <w:sz w:val="20"/>
          <w:szCs w:val="20"/>
        </w:rPr>
        <w:t>února</w:t>
      </w:r>
      <w:r w:rsidRPr="009057C8">
        <w:rPr>
          <w:rFonts w:ascii="Arial" w:hAnsi="Arial" w:cs="Arial"/>
          <w:i/>
          <w:iCs/>
          <w:sz w:val="20"/>
          <w:szCs w:val="20"/>
        </w:rPr>
        <w:t xml:space="preserve"> 2021</w:t>
      </w:r>
      <w:r w:rsidRPr="009057C8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1686">
        <w:rPr>
          <w:rFonts w:ascii="Arial" w:hAnsi="Arial" w:cs="Arial"/>
          <w:b/>
          <w:sz w:val="20"/>
          <w:szCs w:val="20"/>
        </w:rPr>
        <w:t xml:space="preserve">V reakci na </w:t>
      </w:r>
      <w:r w:rsidR="00F91686" w:rsidRPr="007B144F">
        <w:rPr>
          <w:rFonts w:ascii="Arial" w:hAnsi="Arial" w:cs="Arial"/>
          <w:b/>
          <w:sz w:val="20"/>
          <w:szCs w:val="20"/>
        </w:rPr>
        <w:t xml:space="preserve">vysoký zájem </w:t>
      </w:r>
      <w:r w:rsidR="009427B5" w:rsidRPr="007B144F">
        <w:rPr>
          <w:rFonts w:ascii="Arial" w:hAnsi="Arial" w:cs="Arial"/>
          <w:b/>
          <w:sz w:val="20"/>
          <w:szCs w:val="20"/>
        </w:rPr>
        <w:t>o bytovou výstavbu</w:t>
      </w:r>
      <w:r w:rsidR="009427B5">
        <w:rPr>
          <w:rFonts w:ascii="Arial" w:hAnsi="Arial" w:cs="Arial"/>
          <w:b/>
          <w:sz w:val="20"/>
          <w:szCs w:val="20"/>
        </w:rPr>
        <w:t xml:space="preserve"> </w:t>
      </w:r>
      <w:r w:rsidR="00F91686">
        <w:rPr>
          <w:rFonts w:ascii="Arial" w:hAnsi="Arial" w:cs="Arial"/>
          <w:b/>
          <w:sz w:val="20"/>
          <w:szCs w:val="20"/>
        </w:rPr>
        <w:t xml:space="preserve">se </w:t>
      </w:r>
      <w:r w:rsidR="00EB03B8">
        <w:rPr>
          <w:rFonts w:ascii="Arial" w:hAnsi="Arial" w:cs="Arial"/>
          <w:b/>
          <w:sz w:val="20"/>
          <w:szCs w:val="20"/>
        </w:rPr>
        <w:t xml:space="preserve">skupina Broker Consulting </w:t>
      </w:r>
      <w:r w:rsidR="00F91686">
        <w:rPr>
          <w:rFonts w:ascii="Arial" w:hAnsi="Arial" w:cs="Arial"/>
          <w:b/>
          <w:sz w:val="20"/>
          <w:szCs w:val="20"/>
        </w:rPr>
        <w:t>rozhodla rozšířit</w:t>
      </w:r>
      <w:r w:rsidR="00EB03B8" w:rsidRPr="007B144F">
        <w:rPr>
          <w:rFonts w:ascii="Arial" w:hAnsi="Arial" w:cs="Arial"/>
          <w:b/>
          <w:sz w:val="20"/>
          <w:szCs w:val="20"/>
        </w:rPr>
        <w:t xml:space="preserve"> své </w:t>
      </w:r>
      <w:r w:rsidR="00EB03B8">
        <w:rPr>
          <w:rFonts w:ascii="Arial" w:hAnsi="Arial" w:cs="Arial"/>
          <w:b/>
          <w:sz w:val="20"/>
          <w:szCs w:val="20"/>
        </w:rPr>
        <w:t xml:space="preserve">stávající </w:t>
      </w:r>
      <w:r w:rsidR="00EB03B8" w:rsidRPr="007B144F">
        <w:rPr>
          <w:rFonts w:ascii="Arial" w:hAnsi="Arial" w:cs="Arial"/>
          <w:b/>
          <w:sz w:val="20"/>
          <w:szCs w:val="20"/>
        </w:rPr>
        <w:t xml:space="preserve">developerské aktivity ze </w:t>
      </w:r>
      <w:r w:rsidR="009057C8">
        <w:rPr>
          <w:rFonts w:ascii="Arial" w:hAnsi="Arial" w:cs="Arial"/>
          <w:b/>
          <w:sz w:val="20"/>
          <w:szCs w:val="20"/>
        </w:rPr>
        <w:t>z</w:t>
      </w:r>
      <w:r w:rsidR="00EB03B8" w:rsidRPr="007B144F">
        <w:rPr>
          <w:rFonts w:ascii="Arial" w:hAnsi="Arial" w:cs="Arial"/>
          <w:b/>
          <w:sz w:val="20"/>
          <w:szCs w:val="20"/>
        </w:rPr>
        <w:t xml:space="preserve">ápadních Čech do </w:t>
      </w:r>
      <w:r w:rsidR="00721D5B">
        <w:rPr>
          <w:rFonts w:ascii="Arial" w:hAnsi="Arial" w:cs="Arial"/>
          <w:b/>
          <w:sz w:val="20"/>
          <w:szCs w:val="20"/>
        </w:rPr>
        <w:t>všech regionů včetně Prahy</w:t>
      </w:r>
      <w:r w:rsidR="00EB03B8">
        <w:rPr>
          <w:rFonts w:ascii="Arial" w:hAnsi="Arial" w:cs="Arial"/>
          <w:b/>
          <w:sz w:val="20"/>
          <w:szCs w:val="20"/>
        </w:rPr>
        <w:t>.</w:t>
      </w:r>
      <w:r w:rsidR="00F91686">
        <w:rPr>
          <w:rFonts w:ascii="Arial" w:hAnsi="Arial" w:cs="Arial"/>
          <w:b/>
          <w:sz w:val="20"/>
          <w:szCs w:val="20"/>
        </w:rPr>
        <w:t xml:space="preserve"> Během tohoto roku vybere pro realizaci</w:t>
      </w:r>
      <w:r w:rsidR="00F20285">
        <w:rPr>
          <w:rFonts w:ascii="Arial" w:hAnsi="Arial" w:cs="Arial"/>
          <w:b/>
          <w:sz w:val="20"/>
          <w:szCs w:val="20"/>
        </w:rPr>
        <w:t xml:space="preserve"> několik</w:t>
      </w:r>
      <w:r w:rsidR="00CC2465" w:rsidRPr="007B144F">
        <w:rPr>
          <w:rFonts w:ascii="Arial" w:hAnsi="Arial" w:cs="Arial"/>
          <w:b/>
          <w:sz w:val="20"/>
          <w:szCs w:val="20"/>
        </w:rPr>
        <w:t xml:space="preserve"> projekt</w:t>
      </w:r>
      <w:r w:rsidR="00F20285">
        <w:rPr>
          <w:rFonts w:ascii="Arial" w:hAnsi="Arial" w:cs="Arial"/>
          <w:b/>
          <w:sz w:val="20"/>
          <w:szCs w:val="20"/>
        </w:rPr>
        <w:t>ů</w:t>
      </w:r>
      <w:r w:rsidR="00A519BA" w:rsidRPr="007B144F">
        <w:rPr>
          <w:rFonts w:ascii="Arial" w:hAnsi="Arial" w:cs="Arial"/>
          <w:b/>
          <w:sz w:val="20"/>
          <w:szCs w:val="20"/>
        </w:rPr>
        <w:t xml:space="preserve"> </w:t>
      </w:r>
      <w:r w:rsidR="00CC2465" w:rsidRPr="007B144F">
        <w:rPr>
          <w:rFonts w:ascii="Arial" w:hAnsi="Arial" w:cs="Arial"/>
          <w:b/>
          <w:sz w:val="20"/>
          <w:szCs w:val="20"/>
        </w:rPr>
        <w:t xml:space="preserve">rezidenčního bydlení. </w:t>
      </w:r>
      <w:r w:rsidR="00AE08AD" w:rsidRPr="007B144F">
        <w:rPr>
          <w:rFonts w:ascii="Arial" w:hAnsi="Arial" w:cs="Arial"/>
          <w:b/>
          <w:sz w:val="20"/>
          <w:szCs w:val="20"/>
        </w:rPr>
        <w:t xml:space="preserve">Spuštění vlastních </w:t>
      </w:r>
      <w:r w:rsidR="00F6166F">
        <w:rPr>
          <w:rFonts w:ascii="Arial" w:hAnsi="Arial" w:cs="Arial"/>
          <w:b/>
          <w:sz w:val="20"/>
          <w:szCs w:val="20"/>
        </w:rPr>
        <w:t xml:space="preserve">developerských </w:t>
      </w:r>
      <w:r w:rsidR="00AE08AD" w:rsidRPr="007B144F">
        <w:rPr>
          <w:rFonts w:ascii="Arial" w:hAnsi="Arial" w:cs="Arial"/>
          <w:b/>
          <w:sz w:val="20"/>
          <w:szCs w:val="20"/>
        </w:rPr>
        <w:t xml:space="preserve">projektů </w:t>
      </w:r>
      <w:r w:rsidR="00F91686">
        <w:rPr>
          <w:rFonts w:ascii="Arial" w:hAnsi="Arial" w:cs="Arial"/>
          <w:b/>
          <w:sz w:val="20"/>
          <w:szCs w:val="20"/>
        </w:rPr>
        <w:t xml:space="preserve">jí </w:t>
      </w:r>
      <w:r w:rsidR="00F6166F">
        <w:rPr>
          <w:rFonts w:ascii="Arial" w:hAnsi="Arial" w:cs="Arial"/>
          <w:b/>
          <w:sz w:val="20"/>
          <w:szCs w:val="20"/>
        </w:rPr>
        <w:t>přinese</w:t>
      </w:r>
      <w:r w:rsidR="00AE08AD" w:rsidRPr="007B144F">
        <w:rPr>
          <w:rFonts w:ascii="Arial" w:hAnsi="Arial" w:cs="Arial"/>
          <w:b/>
          <w:sz w:val="20"/>
          <w:szCs w:val="20"/>
        </w:rPr>
        <w:t xml:space="preserve"> lepší ochranu vlastní značky</w:t>
      </w:r>
      <w:r w:rsidR="00F20285">
        <w:rPr>
          <w:rFonts w:ascii="Arial" w:hAnsi="Arial" w:cs="Arial"/>
          <w:b/>
          <w:sz w:val="20"/>
          <w:szCs w:val="20"/>
        </w:rPr>
        <w:t xml:space="preserve"> a</w:t>
      </w:r>
      <w:r w:rsidR="00AE08AD" w:rsidRPr="007B144F">
        <w:rPr>
          <w:rFonts w:ascii="Arial" w:hAnsi="Arial" w:cs="Arial"/>
          <w:b/>
          <w:sz w:val="20"/>
          <w:szCs w:val="20"/>
        </w:rPr>
        <w:t xml:space="preserve"> především </w:t>
      </w:r>
      <w:r w:rsidR="00AD2AA1">
        <w:rPr>
          <w:rFonts w:ascii="Arial" w:hAnsi="Arial" w:cs="Arial"/>
          <w:b/>
          <w:sz w:val="20"/>
          <w:szCs w:val="20"/>
        </w:rPr>
        <w:t>nové možnosti</w:t>
      </w:r>
      <w:r w:rsidR="003F5EB9" w:rsidRPr="007B144F">
        <w:rPr>
          <w:rFonts w:ascii="Arial" w:hAnsi="Arial" w:cs="Arial"/>
          <w:b/>
          <w:sz w:val="20"/>
          <w:szCs w:val="20"/>
        </w:rPr>
        <w:t xml:space="preserve"> pro její </w:t>
      </w:r>
      <w:r w:rsidR="009427B5">
        <w:rPr>
          <w:rFonts w:ascii="Arial" w:hAnsi="Arial" w:cs="Arial"/>
          <w:b/>
          <w:sz w:val="20"/>
          <w:szCs w:val="20"/>
        </w:rPr>
        <w:t xml:space="preserve">spolupracovníky a </w:t>
      </w:r>
      <w:r w:rsidR="003F5EB9" w:rsidRPr="007B144F">
        <w:rPr>
          <w:rFonts w:ascii="Arial" w:hAnsi="Arial" w:cs="Arial"/>
          <w:b/>
          <w:sz w:val="20"/>
          <w:szCs w:val="20"/>
        </w:rPr>
        <w:t xml:space="preserve">klienty. </w:t>
      </w:r>
    </w:p>
    <w:p w14:paraId="4B3A8A02" w14:textId="77777777" w:rsidR="006D0172" w:rsidRDefault="006D0172" w:rsidP="003E050B">
      <w:pPr>
        <w:jc w:val="both"/>
        <w:rPr>
          <w:rFonts w:ascii="Arial" w:hAnsi="Arial" w:cs="Arial"/>
          <w:b/>
          <w:sz w:val="20"/>
          <w:szCs w:val="20"/>
        </w:rPr>
      </w:pPr>
    </w:p>
    <w:p w14:paraId="5319536C" w14:textId="4BA78F5B" w:rsidR="009E5A56" w:rsidRDefault="00C75E94" w:rsidP="003E05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Širší skupina Broker Consulting</w:t>
      </w:r>
      <w:r w:rsidR="006D0172">
        <w:rPr>
          <w:rFonts w:ascii="Arial" w:hAnsi="Arial" w:cs="Arial"/>
          <w:b/>
          <w:sz w:val="20"/>
          <w:szCs w:val="20"/>
        </w:rPr>
        <w:t xml:space="preserve"> rozšíří </w:t>
      </w:r>
      <w:r w:rsidR="006A46CC">
        <w:rPr>
          <w:rFonts w:ascii="Arial" w:hAnsi="Arial" w:cs="Arial"/>
          <w:b/>
          <w:sz w:val="20"/>
          <w:szCs w:val="20"/>
        </w:rPr>
        <w:t xml:space="preserve">své </w:t>
      </w:r>
      <w:r w:rsidR="006D0172">
        <w:rPr>
          <w:rFonts w:ascii="Arial" w:hAnsi="Arial" w:cs="Arial"/>
          <w:b/>
          <w:sz w:val="20"/>
          <w:szCs w:val="20"/>
        </w:rPr>
        <w:t xml:space="preserve">developerské aktivity do </w:t>
      </w:r>
      <w:r w:rsidR="00F20285">
        <w:rPr>
          <w:rFonts w:ascii="Arial" w:hAnsi="Arial" w:cs="Arial"/>
          <w:b/>
          <w:sz w:val="20"/>
          <w:szCs w:val="20"/>
        </w:rPr>
        <w:t>všech</w:t>
      </w:r>
      <w:r w:rsidR="006D0172">
        <w:rPr>
          <w:rFonts w:ascii="Arial" w:hAnsi="Arial" w:cs="Arial"/>
          <w:b/>
          <w:sz w:val="20"/>
          <w:szCs w:val="20"/>
        </w:rPr>
        <w:t xml:space="preserve"> regionů</w:t>
      </w:r>
    </w:p>
    <w:p w14:paraId="5DB90976" w14:textId="77777777" w:rsidR="001D42AC" w:rsidRDefault="001D42AC" w:rsidP="003E050B">
      <w:pPr>
        <w:jc w:val="both"/>
        <w:rPr>
          <w:rFonts w:ascii="Arial" w:hAnsi="Arial" w:cs="Arial"/>
          <w:b/>
          <w:sz w:val="20"/>
          <w:szCs w:val="20"/>
        </w:rPr>
      </w:pPr>
    </w:p>
    <w:p w14:paraId="0DA22BBB" w14:textId="4A84B0FA" w:rsidR="009E5A56" w:rsidRPr="009057C8" w:rsidRDefault="001D42AC" w:rsidP="003E05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1727F">
        <w:rPr>
          <w:rFonts w:ascii="Arial" w:hAnsi="Arial" w:cs="Arial"/>
          <w:bCs/>
          <w:sz w:val="20"/>
          <w:szCs w:val="20"/>
        </w:rPr>
        <w:t xml:space="preserve">Do </w:t>
      </w:r>
      <w:r w:rsidR="00496574" w:rsidRPr="00F1727F">
        <w:rPr>
          <w:rFonts w:ascii="Arial" w:hAnsi="Arial" w:cs="Arial"/>
          <w:bCs/>
          <w:sz w:val="20"/>
          <w:szCs w:val="20"/>
        </w:rPr>
        <w:t xml:space="preserve">současné </w:t>
      </w:r>
      <w:r w:rsidR="00C75E94">
        <w:rPr>
          <w:rFonts w:ascii="Arial" w:hAnsi="Arial" w:cs="Arial"/>
          <w:bCs/>
          <w:sz w:val="20"/>
          <w:szCs w:val="20"/>
        </w:rPr>
        <w:t>doby se skupina prostřednictvím společnosti BC Real soustředila na</w:t>
      </w:r>
      <w:r w:rsidRPr="00F1727F">
        <w:rPr>
          <w:rFonts w:ascii="Arial" w:hAnsi="Arial" w:cs="Arial"/>
          <w:bCs/>
          <w:sz w:val="20"/>
          <w:szCs w:val="20"/>
        </w:rPr>
        <w:t xml:space="preserve"> realizaci developerských projek</w:t>
      </w:r>
      <w:r w:rsidR="00284068">
        <w:rPr>
          <w:rFonts w:ascii="Arial" w:hAnsi="Arial" w:cs="Arial"/>
          <w:bCs/>
          <w:sz w:val="20"/>
          <w:szCs w:val="20"/>
        </w:rPr>
        <w:t xml:space="preserve">tů v atraktivních </w:t>
      </w:r>
      <w:r w:rsidR="00284068" w:rsidRPr="009541FF">
        <w:rPr>
          <w:rFonts w:ascii="Arial" w:hAnsi="Arial" w:cs="Arial"/>
          <w:bCs/>
          <w:sz w:val="20"/>
          <w:szCs w:val="20"/>
        </w:rPr>
        <w:t xml:space="preserve">částech </w:t>
      </w:r>
      <w:r w:rsidRPr="009541FF">
        <w:rPr>
          <w:rFonts w:ascii="Arial" w:hAnsi="Arial" w:cs="Arial"/>
          <w:bCs/>
          <w:sz w:val="20"/>
          <w:szCs w:val="20"/>
        </w:rPr>
        <w:t>Plz</w:t>
      </w:r>
      <w:r w:rsidR="006F0460" w:rsidRPr="009541FF">
        <w:rPr>
          <w:rFonts w:ascii="Arial" w:hAnsi="Arial" w:cs="Arial"/>
          <w:bCs/>
          <w:sz w:val="20"/>
          <w:szCs w:val="20"/>
        </w:rPr>
        <w:t>ně</w:t>
      </w:r>
      <w:r w:rsidRPr="009541FF">
        <w:rPr>
          <w:rFonts w:ascii="Arial" w:hAnsi="Arial" w:cs="Arial"/>
          <w:bCs/>
          <w:sz w:val="20"/>
          <w:szCs w:val="20"/>
        </w:rPr>
        <w:t xml:space="preserve">. </w:t>
      </w:r>
      <w:r w:rsidR="00F20285" w:rsidRPr="009541FF">
        <w:rPr>
          <w:rFonts w:ascii="Arial" w:hAnsi="Arial" w:cs="Arial"/>
          <w:bCs/>
          <w:sz w:val="20"/>
          <w:szCs w:val="20"/>
        </w:rPr>
        <w:t xml:space="preserve">Z více než 10 rozsáhlých projektů </w:t>
      </w:r>
      <w:r w:rsidR="00736A80" w:rsidRPr="009541FF">
        <w:rPr>
          <w:rFonts w:ascii="Arial" w:hAnsi="Arial" w:cs="Arial"/>
          <w:bCs/>
          <w:sz w:val="20"/>
          <w:szCs w:val="20"/>
        </w:rPr>
        <w:t>jde</w:t>
      </w:r>
      <w:r w:rsidR="00BC659F" w:rsidRPr="009541FF">
        <w:rPr>
          <w:rFonts w:ascii="Arial" w:hAnsi="Arial" w:cs="Arial"/>
          <w:bCs/>
          <w:sz w:val="20"/>
          <w:szCs w:val="20"/>
        </w:rPr>
        <w:t xml:space="preserve"> zejména o</w:t>
      </w:r>
      <w:r w:rsidR="00736A80" w:rsidRPr="009541FF">
        <w:rPr>
          <w:rFonts w:ascii="Arial" w:hAnsi="Arial" w:cs="Arial"/>
          <w:bCs/>
          <w:sz w:val="20"/>
          <w:szCs w:val="20"/>
        </w:rPr>
        <w:t xml:space="preserve"> </w:t>
      </w:r>
      <w:r w:rsidR="00DA47F7" w:rsidRPr="009541FF">
        <w:rPr>
          <w:rFonts w:ascii="Arial" w:hAnsi="Arial" w:cs="Arial"/>
          <w:bCs/>
          <w:sz w:val="20"/>
          <w:szCs w:val="20"/>
        </w:rPr>
        <w:t xml:space="preserve">bytovou výstavbu v lokalitě bývalého pivovaru </w:t>
      </w:r>
      <w:proofErr w:type="spellStart"/>
      <w:r w:rsidR="00DA47F7" w:rsidRPr="009541FF">
        <w:rPr>
          <w:rFonts w:ascii="Arial" w:hAnsi="Arial" w:cs="Arial"/>
          <w:bCs/>
          <w:sz w:val="20"/>
          <w:szCs w:val="20"/>
        </w:rPr>
        <w:t>Světovar</w:t>
      </w:r>
      <w:proofErr w:type="spellEnd"/>
      <w:r w:rsidR="00DA47F7" w:rsidRPr="009541FF">
        <w:rPr>
          <w:rFonts w:ascii="Arial" w:hAnsi="Arial" w:cs="Arial"/>
          <w:bCs/>
          <w:sz w:val="20"/>
          <w:szCs w:val="20"/>
        </w:rPr>
        <w:t xml:space="preserve">, v Parku u Ježíška či u Papírnické lávky. </w:t>
      </w:r>
      <w:r w:rsidR="00BC659F" w:rsidRPr="009541FF">
        <w:rPr>
          <w:rFonts w:ascii="Arial" w:hAnsi="Arial" w:cs="Arial"/>
          <w:bCs/>
          <w:sz w:val="20"/>
          <w:szCs w:val="20"/>
        </w:rPr>
        <w:t>Skupina se n</w:t>
      </w:r>
      <w:r w:rsidR="00D12A22" w:rsidRPr="009541FF">
        <w:rPr>
          <w:rFonts w:ascii="Arial" w:hAnsi="Arial" w:cs="Arial"/>
          <w:bCs/>
          <w:sz w:val="20"/>
          <w:szCs w:val="20"/>
        </w:rPr>
        <w:t xml:space="preserve">yní chystá rozšířit své aktivity </w:t>
      </w:r>
      <w:r w:rsidR="00C75E94" w:rsidRPr="009541FF">
        <w:rPr>
          <w:rFonts w:ascii="Arial" w:hAnsi="Arial" w:cs="Arial"/>
          <w:bCs/>
          <w:sz w:val="20"/>
          <w:szCs w:val="20"/>
        </w:rPr>
        <w:t>i za</w:t>
      </w:r>
      <w:r w:rsidR="00FB73D7" w:rsidRPr="009541FF">
        <w:rPr>
          <w:rFonts w:ascii="Arial" w:hAnsi="Arial" w:cs="Arial"/>
          <w:bCs/>
          <w:sz w:val="20"/>
          <w:szCs w:val="20"/>
        </w:rPr>
        <w:t xml:space="preserve"> hranice Západních </w:t>
      </w:r>
      <w:r w:rsidR="009917A7" w:rsidRPr="009541FF">
        <w:rPr>
          <w:rFonts w:ascii="Arial" w:hAnsi="Arial" w:cs="Arial"/>
          <w:bCs/>
          <w:sz w:val="20"/>
          <w:szCs w:val="20"/>
        </w:rPr>
        <w:t>Čech</w:t>
      </w:r>
      <w:r w:rsidR="00D12A22" w:rsidRPr="009541FF">
        <w:rPr>
          <w:rFonts w:ascii="Arial" w:hAnsi="Arial" w:cs="Arial"/>
          <w:bCs/>
          <w:sz w:val="20"/>
          <w:szCs w:val="20"/>
        </w:rPr>
        <w:t xml:space="preserve">. </w:t>
      </w:r>
      <w:r w:rsidR="00FB73D7" w:rsidRPr="009541FF">
        <w:rPr>
          <w:rFonts w:ascii="Arial" w:hAnsi="Arial" w:cs="Arial"/>
          <w:bCs/>
          <w:sz w:val="20"/>
          <w:szCs w:val="20"/>
        </w:rPr>
        <w:t>„</w:t>
      </w:r>
      <w:r w:rsidR="009427B5" w:rsidRPr="009541FF">
        <w:rPr>
          <w:rFonts w:ascii="Arial" w:hAnsi="Arial" w:cs="Arial"/>
          <w:bCs/>
          <w:i/>
          <w:iCs/>
          <w:sz w:val="20"/>
          <w:szCs w:val="20"/>
        </w:rPr>
        <w:t xml:space="preserve">V návaznosti </w:t>
      </w:r>
      <w:r w:rsidR="00496574" w:rsidRPr="009541FF">
        <w:rPr>
          <w:rFonts w:ascii="Arial" w:hAnsi="Arial" w:cs="Arial"/>
          <w:bCs/>
          <w:i/>
          <w:iCs/>
          <w:sz w:val="20"/>
          <w:szCs w:val="20"/>
        </w:rPr>
        <w:t>na vysokou poptávku</w:t>
      </w:r>
      <w:r w:rsidR="009E5A56" w:rsidRPr="009541FF">
        <w:rPr>
          <w:rFonts w:ascii="Arial" w:hAnsi="Arial" w:cs="Arial"/>
          <w:bCs/>
          <w:i/>
          <w:iCs/>
          <w:sz w:val="20"/>
          <w:szCs w:val="20"/>
        </w:rPr>
        <w:t xml:space="preserve"> ze všech regionů </w:t>
      </w:r>
      <w:r w:rsidR="00FB73D7" w:rsidRPr="009541FF">
        <w:rPr>
          <w:rFonts w:ascii="Arial" w:hAnsi="Arial" w:cs="Arial"/>
          <w:bCs/>
          <w:i/>
          <w:iCs/>
          <w:sz w:val="20"/>
          <w:szCs w:val="20"/>
        </w:rPr>
        <w:t>jsme se rozhodli</w:t>
      </w:r>
      <w:r w:rsidRPr="009541F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E5A56" w:rsidRPr="009541FF">
        <w:rPr>
          <w:rFonts w:ascii="Arial" w:hAnsi="Arial" w:cs="Arial"/>
          <w:bCs/>
          <w:i/>
          <w:iCs/>
          <w:sz w:val="20"/>
          <w:szCs w:val="20"/>
        </w:rPr>
        <w:t xml:space="preserve">začít </w:t>
      </w:r>
      <w:r w:rsidRPr="009541FF">
        <w:rPr>
          <w:rFonts w:ascii="Arial" w:hAnsi="Arial" w:cs="Arial"/>
          <w:bCs/>
          <w:i/>
          <w:iCs/>
          <w:sz w:val="20"/>
          <w:szCs w:val="20"/>
        </w:rPr>
        <w:t xml:space="preserve">budovat </w:t>
      </w:r>
      <w:r w:rsidR="009E5A56" w:rsidRPr="009541FF">
        <w:rPr>
          <w:rFonts w:ascii="Arial" w:hAnsi="Arial" w:cs="Arial"/>
          <w:bCs/>
          <w:i/>
          <w:iCs/>
          <w:sz w:val="20"/>
          <w:szCs w:val="20"/>
        </w:rPr>
        <w:t>vlastní developerské projekty i v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> dalších městech republiky. K</w:t>
      </w:r>
      <w:r w:rsidR="00C75E94" w:rsidRPr="009541FF">
        <w:rPr>
          <w:rFonts w:ascii="Arial" w:hAnsi="Arial" w:cs="Arial"/>
          <w:bCs/>
          <w:i/>
          <w:iCs/>
          <w:sz w:val="20"/>
          <w:szCs w:val="20"/>
        </w:rPr>
        <w:t xml:space="preserve"> jejich realizaci 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>bude</w:t>
      </w:r>
      <w:r w:rsidR="00FB73D7" w:rsidRPr="009541FF">
        <w:rPr>
          <w:rFonts w:ascii="Arial" w:hAnsi="Arial" w:cs="Arial"/>
          <w:bCs/>
          <w:i/>
          <w:iCs/>
          <w:sz w:val="20"/>
          <w:szCs w:val="20"/>
        </w:rPr>
        <w:t>me</w:t>
      </w:r>
      <w:r w:rsidR="009427B5" w:rsidRPr="009541FF">
        <w:rPr>
          <w:rFonts w:ascii="Arial" w:hAnsi="Arial" w:cs="Arial"/>
          <w:bCs/>
          <w:i/>
          <w:iCs/>
          <w:sz w:val="20"/>
          <w:szCs w:val="20"/>
        </w:rPr>
        <w:t xml:space="preserve"> moci využít </w:t>
      </w:r>
      <w:r w:rsidR="00F20285" w:rsidRPr="009541FF">
        <w:rPr>
          <w:rFonts w:ascii="Arial" w:hAnsi="Arial" w:cs="Arial"/>
          <w:bCs/>
          <w:i/>
          <w:iCs/>
          <w:sz w:val="20"/>
          <w:szCs w:val="20"/>
        </w:rPr>
        <w:t xml:space="preserve">lokální znalost našich spolupracovníků, </w:t>
      </w:r>
      <w:r w:rsidR="00913370" w:rsidRPr="009541FF">
        <w:rPr>
          <w:rFonts w:ascii="Arial" w:hAnsi="Arial" w:cs="Arial"/>
          <w:bCs/>
          <w:i/>
          <w:iCs/>
          <w:sz w:val="20"/>
          <w:szCs w:val="20"/>
        </w:rPr>
        <w:t>oborovou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 xml:space="preserve"> expertízu</w:t>
      </w:r>
      <w:r w:rsidR="00C75E94" w:rsidRPr="009541FF">
        <w:rPr>
          <w:rFonts w:ascii="Arial" w:hAnsi="Arial" w:cs="Arial"/>
          <w:bCs/>
          <w:i/>
          <w:iCs/>
          <w:sz w:val="20"/>
          <w:szCs w:val="20"/>
        </w:rPr>
        <w:t xml:space="preserve"> firmy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B73D7" w:rsidRPr="009541FF">
        <w:rPr>
          <w:rFonts w:ascii="Arial" w:hAnsi="Arial" w:cs="Arial"/>
          <w:bCs/>
          <w:i/>
          <w:iCs/>
          <w:sz w:val="20"/>
          <w:szCs w:val="20"/>
        </w:rPr>
        <w:t>BC Real</w:t>
      </w:r>
      <w:r w:rsidR="00284068" w:rsidRPr="009541FF">
        <w:rPr>
          <w:rFonts w:ascii="Arial" w:hAnsi="Arial" w:cs="Arial"/>
          <w:bCs/>
          <w:i/>
          <w:iCs/>
          <w:sz w:val="20"/>
          <w:szCs w:val="20"/>
        </w:rPr>
        <w:t xml:space="preserve"> a současně 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 xml:space="preserve">podporu centrálního týmu Broker </w:t>
      </w:r>
      <w:r w:rsidR="00496574" w:rsidRPr="009541FF">
        <w:rPr>
          <w:rFonts w:ascii="Arial" w:hAnsi="Arial" w:cs="Arial"/>
          <w:bCs/>
          <w:i/>
          <w:iCs/>
          <w:sz w:val="20"/>
          <w:szCs w:val="20"/>
        </w:rPr>
        <w:t>C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 xml:space="preserve">onsulting, který má </w:t>
      </w:r>
      <w:r w:rsidR="00496574" w:rsidRPr="009541FF">
        <w:rPr>
          <w:rFonts w:ascii="Arial" w:hAnsi="Arial" w:cs="Arial"/>
          <w:bCs/>
          <w:i/>
          <w:iCs/>
          <w:sz w:val="20"/>
          <w:szCs w:val="20"/>
        </w:rPr>
        <w:t>rozsáhlé</w:t>
      </w:r>
      <w:r w:rsidR="00BB0B1D" w:rsidRPr="009541FF">
        <w:rPr>
          <w:rFonts w:ascii="Arial" w:hAnsi="Arial" w:cs="Arial"/>
          <w:bCs/>
          <w:i/>
          <w:iCs/>
          <w:sz w:val="20"/>
          <w:szCs w:val="20"/>
        </w:rPr>
        <w:t xml:space="preserve"> zkušenosti s budováním sítě </w:t>
      </w:r>
      <w:r w:rsidR="00F20285" w:rsidRPr="009541FF">
        <w:rPr>
          <w:rFonts w:ascii="Arial" w:hAnsi="Arial" w:cs="Arial"/>
          <w:bCs/>
          <w:i/>
          <w:iCs/>
          <w:sz w:val="20"/>
          <w:szCs w:val="20"/>
        </w:rPr>
        <w:t xml:space="preserve">franšízových poboček </w:t>
      </w:r>
      <w:r w:rsidR="009541FF">
        <w:rPr>
          <w:rFonts w:ascii="Arial" w:hAnsi="Arial" w:cs="Arial"/>
          <w:bCs/>
          <w:i/>
          <w:iCs/>
          <w:sz w:val="20"/>
          <w:szCs w:val="20"/>
        </w:rPr>
        <w:t>OK POINT</w:t>
      </w:r>
      <w:r w:rsidR="00FB73D7" w:rsidRPr="009541FF">
        <w:rPr>
          <w:rFonts w:ascii="Arial" w:hAnsi="Arial" w:cs="Arial"/>
          <w:bCs/>
          <w:i/>
          <w:iCs/>
          <w:sz w:val="20"/>
          <w:szCs w:val="20"/>
        </w:rPr>
        <w:t>,</w:t>
      </w:r>
      <w:r w:rsidR="00FB73D7" w:rsidRPr="009541FF">
        <w:rPr>
          <w:rFonts w:ascii="Arial" w:hAnsi="Arial" w:cs="Arial"/>
          <w:bCs/>
          <w:sz w:val="20"/>
          <w:szCs w:val="20"/>
        </w:rPr>
        <w:t xml:space="preserve">“ </w:t>
      </w:r>
      <w:r w:rsidR="009917A7" w:rsidRPr="009541FF">
        <w:rPr>
          <w:rFonts w:ascii="Arial" w:hAnsi="Arial" w:cs="Arial"/>
          <w:bCs/>
          <w:sz w:val="20"/>
          <w:szCs w:val="20"/>
        </w:rPr>
        <w:t>vysvětluje</w:t>
      </w:r>
      <w:r w:rsidR="00FB73D7" w:rsidRPr="009541FF">
        <w:rPr>
          <w:rFonts w:ascii="Arial" w:hAnsi="Arial" w:cs="Arial"/>
          <w:bCs/>
          <w:sz w:val="20"/>
          <w:szCs w:val="20"/>
        </w:rPr>
        <w:t xml:space="preserve"> </w:t>
      </w:r>
      <w:r w:rsidR="00FB73D7" w:rsidRPr="009541FF">
        <w:rPr>
          <w:rFonts w:ascii="Arial" w:hAnsi="Arial" w:cs="Arial"/>
          <w:b/>
          <w:sz w:val="20"/>
          <w:szCs w:val="20"/>
        </w:rPr>
        <w:t>Petr Hrubý</w:t>
      </w:r>
      <w:r w:rsidR="00FB73D7" w:rsidRPr="009057C8">
        <w:rPr>
          <w:rFonts w:ascii="Arial" w:hAnsi="Arial" w:cs="Arial"/>
          <w:b/>
          <w:bCs/>
          <w:sz w:val="20"/>
          <w:szCs w:val="20"/>
        </w:rPr>
        <w:t xml:space="preserve">, zakladatel skupiny Broker Consulting. </w:t>
      </w:r>
    </w:p>
    <w:p w14:paraId="63BE19DC" w14:textId="0EF2E903" w:rsidR="00C5625D" w:rsidRPr="009541FF" w:rsidRDefault="00C5625D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487B71BA" w14:textId="5EB3F0E7" w:rsidR="00010D04" w:rsidRPr="009541FF" w:rsidRDefault="00284068" w:rsidP="003E050B">
      <w:pPr>
        <w:jc w:val="both"/>
        <w:rPr>
          <w:rFonts w:ascii="Arial" w:hAnsi="Arial" w:cs="Arial"/>
          <w:bCs/>
          <w:sz w:val="20"/>
          <w:szCs w:val="20"/>
        </w:rPr>
      </w:pPr>
      <w:r w:rsidRPr="009541FF">
        <w:rPr>
          <w:rFonts w:ascii="Arial" w:hAnsi="Arial" w:cs="Arial"/>
          <w:bCs/>
          <w:sz w:val="20"/>
          <w:szCs w:val="20"/>
        </w:rPr>
        <w:t xml:space="preserve">Skupina </w:t>
      </w:r>
      <w:r w:rsidR="00010D04" w:rsidRPr="009541FF">
        <w:rPr>
          <w:rFonts w:ascii="Arial" w:hAnsi="Arial" w:cs="Arial"/>
          <w:bCs/>
          <w:sz w:val="20"/>
          <w:szCs w:val="20"/>
        </w:rPr>
        <w:t>B</w:t>
      </w:r>
      <w:r w:rsidR="007A21D6" w:rsidRPr="009541FF">
        <w:rPr>
          <w:rFonts w:ascii="Arial" w:hAnsi="Arial" w:cs="Arial"/>
          <w:bCs/>
          <w:sz w:val="20"/>
          <w:szCs w:val="20"/>
        </w:rPr>
        <w:t>roker Consulting</w:t>
      </w:r>
      <w:r w:rsidR="00010D04" w:rsidRPr="009541FF">
        <w:rPr>
          <w:rFonts w:ascii="Arial" w:hAnsi="Arial" w:cs="Arial"/>
          <w:bCs/>
          <w:sz w:val="20"/>
          <w:szCs w:val="20"/>
        </w:rPr>
        <w:t xml:space="preserve"> nyn</w:t>
      </w:r>
      <w:r w:rsidR="00C02A6D" w:rsidRPr="009541FF">
        <w:rPr>
          <w:rFonts w:ascii="Arial" w:hAnsi="Arial" w:cs="Arial"/>
          <w:bCs/>
          <w:sz w:val="20"/>
          <w:szCs w:val="20"/>
        </w:rPr>
        <w:t>í</w:t>
      </w:r>
      <w:r w:rsidR="00010D04" w:rsidRPr="009541FF">
        <w:rPr>
          <w:rFonts w:ascii="Arial" w:hAnsi="Arial" w:cs="Arial"/>
          <w:bCs/>
          <w:sz w:val="20"/>
          <w:szCs w:val="20"/>
        </w:rPr>
        <w:t xml:space="preserve"> </w:t>
      </w:r>
      <w:r w:rsidR="009541FF" w:rsidRPr="009541FF">
        <w:rPr>
          <w:rFonts w:ascii="Arial" w:hAnsi="Arial" w:cs="Arial"/>
          <w:bCs/>
          <w:sz w:val="20"/>
          <w:szCs w:val="20"/>
        </w:rPr>
        <w:t xml:space="preserve">klientům </w:t>
      </w:r>
      <w:r w:rsidR="00C02A6D" w:rsidRPr="009541FF">
        <w:rPr>
          <w:rFonts w:ascii="Arial" w:hAnsi="Arial" w:cs="Arial"/>
          <w:bCs/>
          <w:sz w:val="20"/>
          <w:szCs w:val="20"/>
        </w:rPr>
        <w:t>nabízí v</w:t>
      </w:r>
      <w:r w:rsidR="00010D04" w:rsidRPr="009541FF">
        <w:rPr>
          <w:rFonts w:ascii="Arial" w:hAnsi="Arial" w:cs="Arial"/>
          <w:bCs/>
          <w:sz w:val="20"/>
          <w:szCs w:val="20"/>
        </w:rPr>
        <w:t>íce než 100 projektů</w:t>
      </w:r>
      <w:r w:rsidR="00C02A6D" w:rsidRPr="009541FF">
        <w:rPr>
          <w:rFonts w:ascii="Arial" w:hAnsi="Arial" w:cs="Arial"/>
          <w:bCs/>
          <w:sz w:val="20"/>
          <w:szCs w:val="20"/>
        </w:rPr>
        <w:t xml:space="preserve"> od </w:t>
      </w:r>
      <w:r w:rsidR="009057C8">
        <w:rPr>
          <w:rFonts w:ascii="Arial" w:hAnsi="Arial" w:cs="Arial"/>
          <w:bCs/>
          <w:sz w:val="20"/>
          <w:szCs w:val="20"/>
        </w:rPr>
        <w:t>celé řady</w:t>
      </w:r>
      <w:r w:rsidR="00BD5367">
        <w:rPr>
          <w:rFonts w:ascii="Arial" w:hAnsi="Arial" w:cs="Arial"/>
          <w:bCs/>
          <w:sz w:val="20"/>
          <w:szCs w:val="20"/>
        </w:rPr>
        <w:t xml:space="preserve"> </w:t>
      </w:r>
      <w:r w:rsidR="00C02A6D" w:rsidRPr="009541FF">
        <w:rPr>
          <w:rFonts w:ascii="Arial" w:hAnsi="Arial" w:cs="Arial"/>
          <w:bCs/>
          <w:sz w:val="20"/>
          <w:szCs w:val="20"/>
        </w:rPr>
        <w:t>prověřených developerů</w:t>
      </w:r>
      <w:r w:rsidR="00EE1F5F" w:rsidRPr="009541FF">
        <w:rPr>
          <w:rFonts w:ascii="Arial" w:hAnsi="Arial" w:cs="Arial"/>
          <w:bCs/>
          <w:sz w:val="20"/>
          <w:szCs w:val="20"/>
        </w:rPr>
        <w:t>.</w:t>
      </w:r>
      <w:r w:rsidR="00010D04" w:rsidRPr="009541FF">
        <w:rPr>
          <w:rFonts w:ascii="Arial" w:hAnsi="Arial" w:cs="Arial"/>
          <w:bCs/>
          <w:sz w:val="20"/>
          <w:szCs w:val="20"/>
        </w:rPr>
        <w:t xml:space="preserve"> </w:t>
      </w:r>
      <w:r w:rsidR="00553D10" w:rsidRPr="009541FF">
        <w:rPr>
          <w:rFonts w:ascii="Arial" w:hAnsi="Arial" w:cs="Arial"/>
          <w:bCs/>
          <w:sz w:val="20"/>
          <w:szCs w:val="20"/>
        </w:rPr>
        <w:t>Sp</w:t>
      </w:r>
      <w:r w:rsidRPr="009541FF">
        <w:rPr>
          <w:rFonts w:ascii="Arial" w:hAnsi="Arial" w:cs="Arial"/>
          <w:bCs/>
          <w:sz w:val="20"/>
          <w:szCs w:val="20"/>
        </w:rPr>
        <w:t xml:space="preserve">uštění vlastních projektů jí </w:t>
      </w:r>
      <w:r w:rsidR="00553D10" w:rsidRPr="009541FF">
        <w:rPr>
          <w:rFonts w:ascii="Arial" w:hAnsi="Arial" w:cs="Arial"/>
          <w:bCs/>
          <w:sz w:val="20"/>
          <w:szCs w:val="20"/>
        </w:rPr>
        <w:t xml:space="preserve">umožní </w:t>
      </w:r>
      <w:r w:rsidR="00974CE4">
        <w:rPr>
          <w:rFonts w:ascii="Arial" w:hAnsi="Arial" w:cs="Arial"/>
          <w:bCs/>
          <w:sz w:val="20"/>
          <w:szCs w:val="20"/>
        </w:rPr>
        <w:t>chránit</w:t>
      </w:r>
      <w:r w:rsidR="00736A80" w:rsidRPr="009541FF">
        <w:rPr>
          <w:rFonts w:ascii="Arial" w:hAnsi="Arial" w:cs="Arial"/>
          <w:bCs/>
          <w:sz w:val="20"/>
          <w:szCs w:val="20"/>
        </w:rPr>
        <w:t xml:space="preserve"> </w:t>
      </w:r>
      <w:r w:rsidR="00B33387" w:rsidRPr="009541FF">
        <w:rPr>
          <w:rFonts w:ascii="Arial" w:hAnsi="Arial" w:cs="Arial"/>
          <w:bCs/>
          <w:sz w:val="20"/>
          <w:szCs w:val="20"/>
        </w:rPr>
        <w:t>vlastní značku</w:t>
      </w:r>
      <w:r w:rsidR="00974CE4">
        <w:rPr>
          <w:rFonts w:ascii="Arial" w:hAnsi="Arial" w:cs="Arial"/>
          <w:bCs/>
          <w:sz w:val="20"/>
          <w:szCs w:val="20"/>
        </w:rPr>
        <w:t xml:space="preserve"> a </w:t>
      </w:r>
      <w:r w:rsidR="009057C8">
        <w:rPr>
          <w:rFonts w:ascii="Arial" w:hAnsi="Arial" w:cs="Arial"/>
          <w:bCs/>
          <w:sz w:val="20"/>
          <w:szCs w:val="20"/>
        </w:rPr>
        <w:t xml:space="preserve">také </w:t>
      </w:r>
      <w:r w:rsidR="007A21D6" w:rsidRPr="009541FF">
        <w:rPr>
          <w:rFonts w:ascii="Arial" w:hAnsi="Arial" w:cs="Arial"/>
          <w:bCs/>
          <w:sz w:val="20"/>
          <w:szCs w:val="20"/>
        </w:rPr>
        <w:t xml:space="preserve">přinese ideální </w:t>
      </w:r>
      <w:r w:rsidR="00913370" w:rsidRPr="009541FF">
        <w:rPr>
          <w:rFonts w:ascii="Arial" w:hAnsi="Arial" w:cs="Arial"/>
          <w:bCs/>
          <w:sz w:val="20"/>
          <w:szCs w:val="20"/>
        </w:rPr>
        <w:t>zabezpečení obchodu pro klienty</w:t>
      </w:r>
      <w:r w:rsidR="007A21D6" w:rsidRPr="009541FF">
        <w:rPr>
          <w:rFonts w:ascii="Arial" w:hAnsi="Arial" w:cs="Arial"/>
          <w:bCs/>
          <w:sz w:val="20"/>
          <w:szCs w:val="20"/>
        </w:rPr>
        <w:t xml:space="preserve">. </w:t>
      </w:r>
      <w:r w:rsidR="00913370" w:rsidRPr="009541FF">
        <w:rPr>
          <w:rFonts w:ascii="Arial" w:hAnsi="Arial" w:cs="Arial"/>
          <w:bCs/>
          <w:sz w:val="20"/>
          <w:szCs w:val="20"/>
        </w:rPr>
        <w:t xml:space="preserve">Zároveň bude </w:t>
      </w:r>
      <w:r w:rsidR="00974CE4">
        <w:rPr>
          <w:rFonts w:ascii="Arial" w:hAnsi="Arial" w:cs="Arial"/>
          <w:bCs/>
          <w:sz w:val="20"/>
          <w:szCs w:val="20"/>
        </w:rPr>
        <w:t xml:space="preserve">skupina </w:t>
      </w:r>
      <w:r w:rsidR="00913370" w:rsidRPr="009541FF">
        <w:rPr>
          <w:rFonts w:ascii="Arial" w:hAnsi="Arial" w:cs="Arial"/>
          <w:bCs/>
          <w:sz w:val="20"/>
          <w:szCs w:val="20"/>
        </w:rPr>
        <w:t xml:space="preserve">moci </w:t>
      </w:r>
      <w:r w:rsidR="00553D10" w:rsidRPr="009541FF">
        <w:rPr>
          <w:rFonts w:ascii="Arial" w:hAnsi="Arial" w:cs="Arial"/>
          <w:bCs/>
          <w:sz w:val="20"/>
          <w:szCs w:val="20"/>
        </w:rPr>
        <w:t xml:space="preserve">efektivně využít obchodní příležitosti, které se v dané lokalitě nabízejí. </w:t>
      </w:r>
      <w:r w:rsidR="00A17C70" w:rsidRPr="009541FF">
        <w:rPr>
          <w:rFonts w:ascii="Arial" w:hAnsi="Arial" w:cs="Arial"/>
          <w:bCs/>
          <w:sz w:val="20"/>
          <w:szCs w:val="20"/>
        </w:rPr>
        <w:t>Tento krok také významně přispěje k</w:t>
      </w:r>
      <w:r w:rsidR="003E294B" w:rsidRPr="009541FF">
        <w:rPr>
          <w:rFonts w:ascii="Arial" w:hAnsi="Arial" w:cs="Arial"/>
          <w:bCs/>
          <w:sz w:val="20"/>
          <w:szCs w:val="20"/>
        </w:rPr>
        <w:t>e</w:t>
      </w:r>
      <w:r w:rsidR="00A17C70" w:rsidRPr="009541FF">
        <w:rPr>
          <w:rFonts w:ascii="Arial" w:hAnsi="Arial" w:cs="Arial"/>
          <w:bCs/>
          <w:sz w:val="20"/>
          <w:szCs w:val="20"/>
        </w:rPr>
        <w:t xml:space="preserve"> zatraktivnění</w:t>
      </w:r>
      <w:r w:rsidR="003E294B" w:rsidRPr="009541FF">
        <w:rPr>
          <w:rFonts w:ascii="Arial" w:hAnsi="Arial" w:cs="Arial"/>
          <w:bCs/>
          <w:sz w:val="20"/>
          <w:szCs w:val="20"/>
        </w:rPr>
        <w:t xml:space="preserve"> a rozšíření stávajícího</w:t>
      </w:r>
      <w:r w:rsidR="00A17C70" w:rsidRPr="009541FF">
        <w:rPr>
          <w:rFonts w:ascii="Arial" w:hAnsi="Arial" w:cs="Arial"/>
          <w:bCs/>
          <w:sz w:val="20"/>
          <w:szCs w:val="20"/>
        </w:rPr>
        <w:t xml:space="preserve"> portfolia </w:t>
      </w:r>
      <w:r w:rsidR="003E294B" w:rsidRPr="009541FF">
        <w:rPr>
          <w:rFonts w:ascii="Arial" w:hAnsi="Arial" w:cs="Arial"/>
          <w:bCs/>
          <w:sz w:val="20"/>
          <w:szCs w:val="20"/>
        </w:rPr>
        <w:t>nemovitostí, které konzultanti Broker Consulting nabízejí.</w:t>
      </w:r>
      <w:r w:rsidR="001550FB" w:rsidRPr="009541FF">
        <w:rPr>
          <w:rFonts w:ascii="Arial" w:hAnsi="Arial" w:cs="Arial"/>
          <w:bCs/>
          <w:sz w:val="20"/>
          <w:szCs w:val="20"/>
        </w:rPr>
        <w:t xml:space="preserve"> </w:t>
      </w:r>
    </w:p>
    <w:p w14:paraId="08E35523" w14:textId="31D4C0A1" w:rsidR="009E5A56" w:rsidRPr="009541FF" w:rsidRDefault="009E5A56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49EEA5B9" w14:textId="518D6B3F" w:rsidR="006C115B" w:rsidRPr="009541FF" w:rsidRDefault="006C115B" w:rsidP="003E050B">
      <w:pPr>
        <w:jc w:val="both"/>
        <w:rPr>
          <w:rFonts w:ascii="Arial" w:hAnsi="Arial" w:cs="Arial"/>
          <w:b/>
          <w:sz w:val="20"/>
          <w:szCs w:val="20"/>
        </w:rPr>
      </w:pPr>
      <w:r w:rsidRPr="009541FF">
        <w:rPr>
          <w:rFonts w:ascii="Arial" w:hAnsi="Arial" w:cs="Arial"/>
          <w:b/>
          <w:sz w:val="20"/>
          <w:szCs w:val="20"/>
        </w:rPr>
        <w:t>Pilotní projekty rezidenčního bydlení</w:t>
      </w:r>
      <w:r w:rsidR="009541FF">
        <w:rPr>
          <w:rFonts w:ascii="Arial" w:hAnsi="Arial" w:cs="Arial"/>
          <w:b/>
          <w:sz w:val="20"/>
          <w:szCs w:val="20"/>
        </w:rPr>
        <w:t xml:space="preserve">    </w:t>
      </w:r>
    </w:p>
    <w:p w14:paraId="5083797D" w14:textId="77777777" w:rsidR="006C115B" w:rsidRPr="009541FF" w:rsidRDefault="006C115B" w:rsidP="003E050B">
      <w:pPr>
        <w:jc w:val="both"/>
        <w:rPr>
          <w:rFonts w:ascii="Arial" w:hAnsi="Arial" w:cs="Arial"/>
          <w:b/>
          <w:sz w:val="20"/>
          <w:szCs w:val="20"/>
        </w:rPr>
      </w:pPr>
    </w:p>
    <w:p w14:paraId="4C18FB96" w14:textId="320BB6AF" w:rsidR="00092A12" w:rsidRPr="009541FF" w:rsidRDefault="009E5A56" w:rsidP="003E050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41FF">
        <w:rPr>
          <w:rFonts w:ascii="Arial" w:hAnsi="Arial" w:cs="Arial"/>
          <w:bCs/>
          <w:sz w:val="20"/>
          <w:szCs w:val="20"/>
        </w:rPr>
        <w:t xml:space="preserve">Pro rok </w:t>
      </w:r>
      <w:r w:rsidR="00C5625D" w:rsidRPr="009541FF">
        <w:rPr>
          <w:rFonts w:ascii="Arial" w:hAnsi="Arial" w:cs="Arial"/>
          <w:bCs/>
          <w:sz w:val="20"/>
          <w:szCs w:val="20"/>
        </w:rPr>
        <w:t xml:space="preserve">2021 </w:t>
      </w:r>
      <w:r w:rsidRPr="009541FF">
        <w:rPr>
          <w:rFonts w:ascii="Arial" w:hAnsi="Arial" w:cs="Arial"/>
          <w:bCs/>
          <w:sz w:val="20"/>
          <w:szCs w:val="20"/>
        </w:rPr>
        <w:t>bud</w:t>
      </w:r>
      <w:r w:rsidR="00721D5B" w:rsidRPr="009541FF">
        <w:rPr>
          <w:rFonts w:ascii="Arial" w:hAnsi="Arial" w:cs="Arial"/>
          <w:bCs/>
          <w:sz w:val="20"/>
          <w:szCs w:val="20"/>
        </w:rPr>
        <w:t>e</w:t>
      </w:r>
      <w:r w:rsidRPr="009541FF">
        <w:rPr>
          <w:rFonts w:ascii="Arial" w:hAnsi="Arial" w:cs="Arial"/>
          <w:bCs/>
          <w:sz w:val="20"/>
          <w:szCs w:val="20"/>
        </w:rPr>
        <w:t xml:space="preserve"> </w:t>
      </w:r>
      <w:r w:rsidR="00C5625D" w:rsidRPr="009541FF">
        <w:rPr>
          <w:rFonts w:ascii="Arial" w:hAnsi="Arial" w:cs="Arial"/>
          <w:bCs/>
          <w:sz w:val="20"/>
          <w:szCs w:val="20"/>
        </w:rPr>
        <w:t xml:space="preserve">k realizaci </w:t>
      </w:r>
      <w:r w:rsidRPr="009541FF">
        <w:rPr>
          <w:rFonts w:ascii="Arial" w:hAnsi="Arial" w:cs="Arial"/>
          <w:bCs/>
          <w:sz w:val="20"/>
          <w:szCs w:val="20"/>
        </w:rPr>
        <w:t>vybrá</w:t>
      </w:r>
      <w:r w:rsidR="00721D5B" w:rsidRPr="009541FF">
        <w:rPr>
          <w:rFonts w:ascii="Arial" w:hAnsi="Arial" w:cs="Arial"/>
          <w:bCs/>
          <w:sz w:val="20"/>
          <w:szCs w:val="20"/>
        </w:rPr>
        <w:t xml:space="preserve">no několik </w:t>
      </w:r>
      <w:r w:rsidRPr="009541FF">
        <w:rPr>
          <w:rFonts w:ascii="Arial" w:hAnsi="Arial" w:cs="Arial"/>
          <w:bCs/>
          <w:sz w:val="20"/>
          <w:szCs w:val="20"/>
        </w:rPr>
        <w:t>pilotní</w:t>
      </w:r>
      <w:r w:rsidR="00721D5B" w:rsidRPr="009541FF">
        <w:rPr>
          <w:rFonts w:ascii="Arial" w:hAnsi="Arial" w:cs="Arial"/>
          <w:bCs/>
          <w:sz w:val="20"/>
          <w:szCs w:val="20"/>
        </w:rPr>
        <w:t>ch</w:t>
      </w:r>
      <w:r w:rsidRPr="009541FF">
        <w:rPr>
          <w:rFonts w:ascii="Arial" w:hAnsi="Arial" w:cs="Arial"/>
          <w:bCs/>
          <w:sz w:val="20"/>
          <w:szCs w:val="20"/>
        </w:rPr>
        <w:t xml:space="preserve"> projekt</w:t>
      </w:r>
      <w:r w:rsidR="00721D5B" w:rsidRPr="009541FF">
        <w:rPr>
          <w:rFonts w:ascii="Arial" w:hAnsi="Arial" w:cs="Arial"/>
          <w:bCs/>
          <w:sz w:val="20"/>
          <w:szCs w:val="20"/>
        </w:rPr>
        <w:t>ů</w:t>
      </w:r>
      <w:r w:rsidR="003216A2" w:rsidRPr="009541FF">
        <w:rPr>
          <w:rFonts w:ascii="Arial" w:hAnsi="Arial" w:cs="Arial"/>
          <w:bCs/>
          <w:sz w:val="20"/>
          <w:szCs w:val="20"/>
        </w:rPr>
        <w:t xml:space="preserve"> zaměřen</w:t>
      </w:r>
      <w:r w:rsidR="00721D5B" w:rsidRPr="009541FF">
        <w:rPr>
          <w:rFonts w:ascii="Arial" w:hAnsi="Arial" w:cs="Arial"/>
          <w:bCs/>
          <w:sz w:val="20"/>
          <w:szCs w:val="20"/>
        </w:rPr>
        <w:t>ých</w:t>
      </w:r>
      <w:r w:rsidR="003216A2" w:rsidRPr="009541FF">
        <w:rPr>
          <w:rFonts w:ascii="Arial" w:hAnsi="Arial" w:cs="Arial"/>
          <w:bCs/>
          <w:sz w:val="20"/>
          <w:szCs w:val="20"/>
        </w:rPr>
        <w:t xml:space="preserve"> na rezidenční bytovou výstavbu</w:t>
      </w:r>
      <w:r w:rsidR="00C5625D" w:rsidRPr="009541FF">
        <w:rPr>
          <w:rFonts w:ascii="Arial" w:hAnsi="Arial" w:cs="Arial"/>
          <w:bCs/>
          <w:sz w:val="20"/>
          <w:szCs w:val="20"/>
        </w:rPr>
        <w:t>.</w:t>
      </w:r>
      <w:r w:rsidR="003E294B" w:rsidRPr="009541FF">
        <w:rPr>
          <w:rFonts w:ascii="Arial" w:hAnsi="Arial" w:cs="Arial"/>
          <w:bCs/>
          <w:sz w:val="20"/>
          <w:szCs w:val="20"/>
        </w:rPr>
        <w:t xml:space="preserve"> </w:t>
      </w:r>
      <w:r w:rsidR="003216A2" w:rsidRPr="009541FF">
        <w:rPr>
          <w:rFonts w:ascii="Arial" w:hAnsi="Arial" w:cs="Arial"/>
          <w:bCs/>
          <w:sz w:val="20"/>
          <w:szCs w:val="20"/>
        </w:rPr>
        <w:t>Cílovými lokalitami budou krajsk</w:t>
      </w:r>
      <w:r w:rsidR="007A21D6" w:rsidRPr="009541FF">
        <w:rPr>
          <w:rFonts w:ascii="Arial" w:hAnsi="Arial" w:cs="Arial"/>
          <w:bCs/>
          <w:sz w:val="20"/>
          <w:szCs w:val="20"/>
        </w:rPr>
        <w:t>á</w:t>
      </w:r>
      <w:r w:rsidR="003216A2" w:rsidRPr="009541FF">
        <w:rPr>
          <w:rFonts w:ascii="Arial" w:hAnsi="Arial" w:cs="Arial"/>
          <w:bCs/>
          <w:sz w:val="20"/>
          <w:szCs w:val="20"/>
        </w:rPr>
        <w:t xml:space="preserve"> měst</w:t>
      </w:r>
      <w:r w:rsidR="007A21D6" w:rsidRPr="009541FF">
        <w:rPr>
          <w:rFonts w:ascii="Arial" w:hAnsi="Arial" w:cs="Arial"/>
          <w:bCs/>
          <w:sz w:val="20"/>
          <w:szCs w:val="20"/>
        </w:rPr>
        <w:t>a</w:t>
      </w:r>
      <w:r w:rsidR="003216A2" w:rsidRPr="009541FF">
        <w:rPr>
          <w:rFonts w:ascii="Arial" w:hAnsi="Arial" w:cs="Arial"/>
          <w:bCs/>
          <w:sz w:val="20"/>
          <w:szCs w:val="20"/>
        </w:rPr>
        <w:t>, případně také Prah</w:t>
      </w:r>
      <w:r w:rsidR="00EE1F5F" w:rsidRPr="009541FF">
        <w:rPr>
          <w:rFonts w:ascii="Arial" w:hAnsi="Arial" w:cs="Arial"/>
          <w:bCs/>
          <w:sz w:val="20"/>
          <w:szCs w:val="20"/>
        </w:rPr>
        <w:t>a a její okolí</w:t>
      </w:r>
      <w:r w:rsidR="003216A2" w:rsidRPr="009541FF">
        <w:rPr>
          <w:rFonts w:ascii="Arial" w:hAnsi="Arial" w:cs="Arial"/>
          <w:bCs/>
          <w:sz w:val="20"/>
          <w:szCs w:val="20"/>
        </w:rPr>
        <w:t xml:space="preserve">. </w:t>
      </w:r>
      <w:r w:rsidR="00393DFA" w:rsidRPr="009541FF">
        <w:rPr>
          <w:rFonts w:ascii="Arial" w:hAnsi="Arial" w:cs="Arial"/>
          <w:bCs/>
          <w:sz w:val="20"/>
          <w:szCs w:val="20"/>
        </w:rPr>
        <w:t>„</w:t>
      </w:r>
      <w:r w:rsidR="00AC66A4" w:rsidRPr="009541FF">
        <w:rPr>
          <w:rFonts w:ascii="Arial" w:hAnsi="Arial" w:cs="Arial"/>
          <w:bCs/>
          <w:i/>
          <w:iCs/>
          <w:sz w:val="20"/>
          <w:szCs w:val="20"/>
        </w:rPr>
        <w:t xml:space="preserve">Díky rozsáhlé síti našich spolupracovníků </w:t>
      </w:r>
      <w:r w:rsidR="00520287" w:rsidRPr="009541FF">
        <w:rPr>
          <w:rFonts w:ascii="Arial" w:hAnsi="Arial" w:cs="Arial"/>
          <w:bCs/>
          <w:i/>
          <w:iCs/>
          <w:sz w:val="20"/>
          <w:szCs w:val="20"/>
        </w:rPr>
        <w:t>máme</w:t>
      </w:r>
      <w:r w:rsidR="007919C9" w:rsidRPr="009541F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E1F5F" w:rsidRPr="009541FF">
        <w:rPr>
          <w:rFonts w:ascii="Arial" w:hAnsi="Arial" w:cs="Arial"/>
          <w:bCs/>
          <w:i/>
          <w:iCs/>
          <w:sz w:val="20"/>
          <w:szCs w:val="20"/>
        </w:rPr>
        <w:t xml:space="preserve">v regionech </w:t>
      </w:r>
      <w:r w:rsidR="007919C9" w:rsidRPr="009541FF">
        <w:rPr>
          <w:rFonts w:ascii="Arial" w:hAnsi="Arial" w:cs="Arial"/>
          <w:bCs/>
          <w:i/>
          <w:iCs/>
          <w:sz w:val="20"/>
          <w:szCs w:val="20"/>
        </w:rPr>
        <w:t>dobrý přehled o možnostech</w:t>
      </w:r>
      <w:r w:rsidR="00EE1F5F" w:rsidRPr="009541FF">
        <w:rPr>
          <w:rFonts w:ascii="Arial" w:hAnsi="Arial" w:cs="Arial"/>
          <w:bCs/>
          <w:i/>
          <w:iCs/>
          <w:sz w:val="20"/>
          <w:szCs w:val="20"/>
        </w:rPr>
        <w:t xml:space="preserve"> realizace</w:t>
      </w:r>
      <w:r w:rsidR="00520287" w:rsidRPr="009541FF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5D1BB8" w:rsidRPr="009541FF">
        <w:rPr>
          <w:rFonts w:ascii="Arial" w:hAnsi="Arial" w:cs="Arial"/>
          <w:bCs/>
          <w:i/>
          <w:iCs/>
          <w:sz w:val="20"/>
          <w:szCs w:val="20"/>
        </w:rPr>
        <w:t xml:space="preserve">Pro naše </w:t>
      </w:r>
      <w:r w:rsidR="000F0758" w:rsidRPr="009541FF">
        <w:rPr>
          <w:rFonts w:ascii="Arial" w:hAnsi="Arial" w:cs="Arial"/>
          <w:bCs/>
          <w:i/>
          <w:iCs/>
          <w:sz w:val="20"/>
          <w:szCs w:val="20"/>
        </w:rPr>
        <w:t>developersk</w:t>
      </w:r>
      <w:r w:rsidR="005D1BB8" w:rsidRPr="009541FF">
        <w:rPr>
          <w:rFonts w:ascii="Arial" w:hAnsi="Arial" w:cs="Arial"/>
          <w:bCs/>
          <w:i/>
          <w:iCs/>
          <w:sz w:val="20"/>
          <w:szCs w:val="20"/>
        </w:rPr>
        <w:t>é</w:t>
      </w:r>
      <w:r w:rsidR="000F0758" w:rsidRPr="009541FF">
        <w:rPr>
          <w:rFonts w:ascii="Arial" w:hAnsi="Arial" w:cs="Arial"/>
          <w:bCs/>
          <w:i/>
          <w:iCs/>
          <w:sz w:val="20"/>
          <w:szCs w:val="20"/>
        </w:rPr>
        <w:t xml:space="preserve"> projekt</w:t>
      </w:r>
      <w:r w:rsidR="005D1BB8" w:rsidRPr="009541FF">
        <w:rPr>
          <w:rFonts w:ascii="Arial" w:hAnsi="Arial" w:cs="Arial"/>
          <w:bCs/>
          <w:i/>
          <w:iCs/>
          <w:sz w:val="20"/>
          <w:szCs w:val="20"/>
        </w:rPr>
        <w:t>y</w:t>
      </w:r>
      <w:r w:rsidR="000F0758" w:rsidRPr="009541FF">
        <w:rPr>
          <w:rFonts w:ascii="Arial" w:hAnsi="Arial" w:cs="Arial"/>
          <w:bCs/>
          <w:i/>
          <w:iCs/>
          <w:sz w:val="20"/>
          <w:szCs w:val="20"/>
        </w:rPr>
        <w:t xml:space="preserve"> budeme </w:t>
      </w:r>
      <w:r w:rsidR="009427B5" w:rsidRPr="009541FF">
        <w:rPr>
          <w:rFonts w:ascii="Arial" w:hAnsi="Arial" w:cs="Arial"/>
          <w:bCs/>
          <w:i/>
          <w:iCs/>
          <w:sz w:val="20"/>
          <w:szCs w:val="20"/>
        </w:rPr>
        <w:t>společně</w:t>
      </w:r>
      <w:r w:rsidR="00EE1F5F" w:rsidRPr="009541FF">
        <w:rPr>
          <w:rFonts w:ascii="Arial" w:hAnsi="Arial" w:cs="Arial"/>
          <w:bCs/>
          <w:i/>
          <w:iCs/>
          <w:sz w:val="20"/>
          <w:szCs w:val="20"/>
        </w:rPr>
        <w:t xml:space="preserve"> s našimi konzultanty a manažery </w:t>
      </w:r>
      <w:r w:rsidR="000F0758" w:rsidRPr="009541FF">
        <w:rPr>
          <w:rFonts w:ascii="Arial" w:hAnsi="Arial" w:cs="Arial"/>
          <w:bCs/>
          <w:i/>
          <w:iCs/>
          <w:sz w:val="20"/>
          <w:szCs w:val="20"/>
        </w:rPr>
        <w:t xml:space="preserve">vybírat oblasti, ve kterých </w:t>
      </w:r>
      <w:r w:rsidR="00284068" w:rsidRPr="009541FF">
        <w:rPr>
          <w:rFonts w:ascii="Arial" w:hAnsi="Arial" w:cs="Arial"/>
          <w:bCs/>
          <w:i/>
          <w:iCs/>
          <w:sz w:val="20"/>
          <w:szCs w:val="20"/>
        </w:rPr>
        <w:t>bude ze strany místních největší zájem o bytovou výstavbu</w:t>
      </w:r>
      <w:r w:rsidR="00092A12" w:rsidRPr="009541FF">
        <w:rPr>
          <w:rFonts w:ascii="Arial" w:hAnsi="Arial" w:cs="Arial"/>
          <w:bCs/>
          <w:i/>
          <w:iCs/>
          <w:sz w:val="20"/>
          <w:szCs w:val="20"/>
        </w:rPr>
        <w:t>,</w:t>
      </w:r>
      <w:r w:rsidR="005D1BB8" w:rsidRPr="009541FF">
        <w:rPr>
          <w:rFonts w:ascii="Arial" w:hAnsi="Arial" w:cs="Arial"/>
          <w:bCs/>
          <w:i/>
          <w:iCs/>
          <w:sz w:val="20"/>
          <w:szCs w:val="20"/>
        </w:rPr>
        <w:t>“</w:t>
      </w:r>
      <w:r w:rsidR="00092A12" w:rsidRPr="009541F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427B5" w:rsidRPr="009541FF">
        <w:rPr>
          <w:rFonts w:ascii="Arial" w:hAnsi="Arial" w:cs="Arial"/>
          <w:bCs/>
          <w:sz w:val="20"/>
          <w:szCs w:val="20"/>
        </w:rPr>
        <w:t xml:space="preserve">říká </w:t>
      </w:r>
      <w:r w:rsidR="0038398B" w:rsidRPr="009541FF">
        <w:rPr>
          <w:rFonts w:ascii="Arial" w:hAnsi="Arial" w:cs="Arial"/>
          <w:bCs/>
          <w:sz w:val="20"/>
          <w:szCs w:val="20"/>
        </w:rPr>
        <w:t xml:space="preserve">Petr </w:t>
      </w:r>
      <w:r w:rsidR="00092A12" w:rsidRPr="009541FF">
        <w:rPr>
          <w:rFonts w:ascii="Arial" w:hAnsi="Arial" w:cs="Arial"/>
          <w:bCs/>
          <w:sz w:val="20"/>
          <w:szCs w:val="20"/>
        </w:rPr>
        <w:t>Hrubý</w:t>
      </w:r>
      <w:r w:rsidR="00092A12" w:rsidRPr="009541FF">
        <w:rPr>
          <w:rFonts w:ascii="Arial" w:hAnsi="Arial" w:cs="Arial"/>
          <w:bCs/>
          <w:i/>
          <w:iCs/>
          <w:sz w:val="20"/>
          <w:szCs w:val="20"/>
        </w:rPr>
        <w:t>.</w:t>
      </w:r>
      <w:r w:rsidR="00EE1F5F" w:rsidRPr="009541F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2EA5FF46" w14:textId="77777777" w:rsidR="00092A12" w:rsidRPr="009541FF" w:rsidRDefault="00092A12" w:rsidP="003E050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C8168E8" w14:textId="65566A23" w:rsidR="003216A2" w:rsidRPr="00F1727F" w:rsidRDefault="00E92D9D" w:rsidP="003E050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41FF">
        <w:rPr>
          <w:rFonts w:ascii="Arial" w:hAnsi="Arial" w:cs="Arial"/>
          <w:bCs/>
          <w:sz w:val="20"/>
          <w:szCs w:val="20"/>
        </w:rPr>
        <w:t>Projekty</w:t>
      </w:r>
      <w:r w:rsidR="00092A12" w:rsidRPr="009541FF">
        <w:rPr>
          <w:rFonts w:ascii="Arial" w:hAnsi="Arial" w:cs="Arial"/>
          <w:bCs/>
          <w:sz w:val="20"/>
          <w:szCs w:val="20"/>
        </w:rPr>
        <w:t xml:space="preserve"> </w:t>
      </w:r>
      <w:r w:rsidRPr="009541FF">
        <w:rPr>
          <w:rFonts w:ascii="Arial" w:hAnsi="Arial" w:cs="Arial"/>
          <w:bCs/>
          <w:sz w:val="20"/>
          <w:szCs w:val="20"/>
        </w:rPr>
        <w:t xml:space="preserve">bude </w:t>
      </w:r>
      <w:r w:rsidR="000E41EB" w:rsidRPr="009541FF">
        <w:rPr>
          <w:rFonts w:ascii="Arial" w:hAnsi="Arial" w:cs="Arial"/>
          <w:bCs/>
          <w:sz w:val="20"/>
          <w:szCs w:val="20"/>
        </w:rPr>
        <w:t xml:space="preserve">širší </w:t>
      </w:r>
      <w:r w:rsidRPr="009541FF">
        <w:rPr>
          <w:rFonts w:ascii="Arial" w:hAnsi="Arial" w:cs="Arial"/>
          <w:bCs/>
          <w:sz w:val="20"/>
          <w:szCs w:val="20"/>
        </w:rPr>
        <w:t xml:space="preserve">skupina Broker Consulting realizovat v rámci </w:t>
      </w:r>
      <w:proofErr w:type="spellStart"/>
      <w:r w:rsidRPr="009541FF">
        <w:rPr>
          <w:rFonts w:ascii="Arial" w:hAnsi="Arial" w:cs="Arial"/>
          <w:bCs/>
          <w:sz w:val="20"/>
          <w:szCs w:val="20"/>
        </w:rPr>
        <w:t>equity</w:t>
      </w:r>
      <w:proofErr w:type="spellEnd"/>
      <w:r w:rsidRPr="009541FF">
        <w:rPr>
          <w:rFonts w:ascii="Arial" w:hAnsi="Arial" w:cs="Arial"/>
          <w:bCs/>
          <w:sz w:val="20"/>
          <w:szCs w:val="20"/>
        </w:rPr>
        <w:t xml:space="preserve"> partnership se svými spolupracovníky přímo v</w:t>
      </w:r>
      <w:r w:rsidR="000C799E" w:rsidRPr="009541FF">
        <w:rPr>
          <w:rFonts w:ascii="Arial" w:hAnsi="Arial" w:cs="Arial"/>
          <w:bCs/>
          <w:sz w:val="20"/>
          <w:szCs w:val="20"/>
        </w:rPr>
        <w:t> </w:t>
      </w:r>
      <w:r w:rsidRPr="009541FF">
        <w:rPr>
          <w:rFonts w:ascii="Arial" w:hAnsi="Arial" w:cs="Arial"/>
          <w:bCs/>
          <w:sz w:val="20"/>
          <w:szCs w:val="20"/>
        </w:rPr>
        <w:t>regionech</w:t>
      </w:r>
      <w:r w:rsidR="000C799E" w:rsidRPr="009541FF">
        <w:rPr>
          <w:rFonts w:ascii="Arial" w:hAnsi="Arial" w:cs="Arial"/>
          <w:bCs/>
          <w:sz w:val="20"/>
          <w:szCs w:val="20"/>
        </w:rPr>
        <w:t xml:space="preserve">. </w:t>
      </w:r>
      <w:r w:rsidR="004B29A0">
        <w:rPr>
          <w:rFonts w:ascii="Arial" w:hAnsi="Arial" w:cs="Arial"/>
          <w:bCs/>
          <w:sz w:val="20"/>
          <w:szCs w:val="20"/>
        </w:rPr>
        <w:t>Tito s</w:t>
      </w:r>
      <w:r w:rsidR="000C799E" w:rsidRPr="009541FF">
        <w:rPr>
          <w:rFonts w:ascii="Arial" w:hAnsi="Arial" w:cs="Arial"/>
          <w:bCs/>
          <w:sz w:val="20"/>
          <w:szCs w:val="20"/>
        </w:rPr>
        <w:t>polupracovníci</w:t>
      </w:r>
      <w:r w:rsidR="009427B5" w:rsidRPr="009541FF">
        <w:rPr>
          <w:rFonts w:ascii="Arial" w:hAnsi="Arial" w:cs="Arial"/>
          <w:bCs/>
          <w:sz w:val="20"/>
          <w:szCs w:val="20"/>
        </w:rPr>
        <w:t xml:space="preserve"> </w:t>
      </w:r>
      <w:r w:rsidRPr="009541FF">
        <w:rPr>
          <w:rFonts w:ascii="Arial" w:hAnsi="Arial" w:cs="Arial"/>
          <w:bCs/>
          <w:sz w:val="20"/>
          <w:szCs w:val="20"/>
        </w:rPr>
        <w:t xml:space="preserve">získávají možnost stát se </w:t>
      </w:r>
      <w:r w:rsidR="000C799E" w:rsidRPr="009541FF">
        <w:rPr>
          <w:rFonts w:ascii="Arial" w:hAnsi="Arial" w:cs="Arial"/>
          <w:bCs/>
          <w:sz w:val="20"/>
          <w:szCs w:val="20"/>
        </w:rPr>
        <w:t>aktivním členem celého developerského projektu</w:t>
      </w:r>
      <w:r w:rsidR="000E41EB" w:rsidRPr="009541FF">
        <w:rPr>
          <w:rFonts w:ascii="Arial" w:hAnsi="Arial" w:cs="Arial"/>
          <w:bCs/>
          <w:sz w:val="20"/>
          <w:szCs w:val="20"/>
        </w:rPr>
        <w:t>.</w:t>
      </w:r>
      <w:r w:rsidR="00092A12" w:rsidRPr="009541FF">
        <w:rPr>
          <w:rFonts w:ascii="Arial" w:hAnsi="Arial" w:cs="Arial"/>
          <w:bCs/>
          <w:i/>
          <w:iCs/>
          <w:sz w:val="20"/>
          <w:szCs w:val="20"/>
        </w:rPr>
        <w:t xml:space="preserve"> „</w:t>
      </w:r>
      <w:r w:rsidR="00CE660D" w:rsidRPr="009541FF">
        <w:rPr>
          <w:rFonts w:ascii="Arial" w:hAnsi="Arial" w:cs="Arial"/>
          <w:bCs/>
          <w:i/>
          <w:iCs/>
          <w:sz w:val="20"/>
          <w:szCs w:val="20"/>
        </w:rPr>
        <w:t>Umožňujeme</w:t>
      </w:r>
      <w:r w:rsidR="009427B5" w:rsidRPr="009541F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E660D" w:rsidRPr="009541FF">
        <w:rPr>
          <w:rFonts w:ascii="Arial" w:hAnsi="Arial" w:cs="Arial"/>
          <w:bCs/>
          <w:i/>
          <w:iCs/>
          <w:sz w:val="20"/>
          <w:szCs w:val="20"/>
        </w:rPr>
        <w:t xml:space="preserve">našim </w:t>
      </w:r>
      <w:r w:rsidR="004B29A0">
        <w:rPr>
          <w:rFonts w:ascii="Arial" w:hAnsi="Arial" w:cs="Arial"/>
          <w:bCs/>
          <w:i/>
          <w:iCs/>
          <w:sz w:val="20"/>
          <w:szCs w:val="20"/>
        </w:rPr>
        <w:t xml:space="preserve">lokálním </w:t>
      </w:r>
      <w:r w:rsidR="00CE660D" w:rsidRPr="009541FF">
        <w:rPr>
          <w:rFonts w:ascii="Arial" w:hAnsi="Arial" w:cs="Arial"/>
          <w:bCs/>
          <w:i/>
          <w:iCs/>
          <w:sz w:val="20"/>
          <w:szCs w:val="20"/>
        </w:rPr>
        <w:t>spolupracovníkům a konzultantům</w:t>
      </w:r>
      <w:r w:rsidR="00721D5B" w:rsidRPr="009541FF">
        <w:rPr>
          <w:rFonts w:ascii="Arial" w:hAnsi="Arial" w:cs="Arial"/>
          <w:bCs/>
          <w:i/>
          <w:iCs/>
          <w:sz w:val="20"/>
          <w:szCs w:val="20"/>
        </w:rPr>
        <w:t>, aby se projektů</w:t>
      </w:r>
      <w:r w:rsidR="00CE660D" w:rsidRPr="009541FF">
        <w:rPr>
          <w:rFonts w:ascii="Arial" w:hAnsi="Arial" w:cs="Arial"/>
          <w:bCs/>
          <w:i/>
          <w:iCs/>
          <w:sz w:val="20"/>
          <w:szCs w:val="20"/>
        </w:rPr>
        <w:t xml:space="preserve"> přímo </w:t>
      </w:r>
      <w:r w:rsidR="00721D5B" w:rsidRPr="009541FF">
        <w:rPr>
          <w:rFonts w:ascii="Arial" w:hAnsi="Arial" w:cs="Arial"/>
          <w:bCs/>
          <w:i/>
          <w:iCs/>
          <w:sz w:val="20"/>
          <w:szCs w:val="20"/>
        </w:rPr>
        <w:t>účastnili</w:t>
      </w:r>
      <w:r w:rsidR="00CE660D" w:rsidRPr="009541FF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0E41EB" w:rsidRPr="009541FF">
        <w:rPr>
          <w:rFonts w:ascii="Arial" w:hAnsi="Arial" w:cs="Arial"/>
          <w:bCs/>
          <w:i/>
          <w:iCs/>
          <w:sz w:val="20"/>
          <w:szCs w:val="20"/>
        </w:rPr>
        <w:t xml:space="preserve">Díky technickému zázemí a 10leté expertíze firmy BC Real v oblasti </w:t>
      </w:r>
      <w:r w:rsidR="00CE660D" w:rsidRPr="009541FF">
        <w:rPr>
          <w:rFonts w:ascii="Arial" w:hAnsi="Arial" w:cs="Arial"/>
          <w:bCs/>
          <w:i/>
          <w:iCs/>
          <w:sz w:val="20"/>
          <w:szCs w:val="20"/>
        </w:rPr>
        <w:t>development</w:t>
      </w:r>
      <w:r w:rsidR="000E41EB" w:rsidRPr="009541FF">
        <w:rPr>
          <w:rFonts w:ascii="Arial" w:hAnsi="Arial" w:cs="Arial"/>
          <w:bCs/>
          <w:i/>
          <w:iCs/>
          <w:sz w:val="20"/>
          <w:szCs w:val="20"/>
        </w:rPr>
        <w:t>u</w:t>
      </w:r>
      <w:r w:rsidR="00CE660D">
        <w:rPr>
          <w:rFonts w:ascii="Arial" w:hAnsi="Arial" w:cs="Arial"/>
          <w:bCs/>
          <w:i/>
          <w:iCs/>
          <w:sz w:val="20"/>
          <w:szCs w:val="20"/>
        </w:rPr>
        <w:t xml:space="preserve"> a mnohaleté odbornosti </w:t>
      </w:r>
      <w:r w:rsidR="000E41EB">
        <w:rPr>
          <w:rFonts w:ascii="Arial" w:hAnsi="Arial" w:cs="Arial"/>
          <w:bCs/>
          <w:i/>
          <w:iCs/>
          <w:sz w:val="20"/>
          <w:szCs w:val="20"/>
        </w:rPr>
        <w:t>našich konzultantů a manažerů v realitních službách máme pro rozvoj vlastních developerských projektů ty nejlepší předpoklady</w:t>
      </w:r>
      <w:r w:rsidR="00092A12" w:rsidRPr="00F1727F">
        <w:rPr>
          <w:rFonts w:ascii="Arial" w:hAnsi="Arial" w:cs="Arial"/>
          <w:bCs/>
          <w:i/>
          <w:iCs/>
          <w:sz w:val="20"/>
          <w:szCs w:val="20"/>
        </w:rPr>
        <w:t>,</w:t>
      </w:r>
      <w:r w:rsidR="001064B6">
        <w:rPr>
          <w:rFonts w:ascii="Arial" w:hAnsi="Arial" w:cs="Arial"/>
          <w:bCs/>
          <w:sz w:val="20"/>
          <w:szCs w:val="20"/>
        </w:rPr>
        <w:t>“ uzavírá</w:t>
      </w:r>
      <w:r w:rsidR="000E41EB">
        <w:rPr>
          <w:rFonts w:ascii="Arial" w:hAnsi="Arial" w:cs="Arial"/>
          <w:bCs/>
          <w:sz w:val="20"/>
          <w:szCs w:val="20"/>
        </w:rPr>
        <w:t xml:space="preserve"> Petr</w:t>
      </w:r>
      <w:r w:rsidR="00CC1A1C" w:rsidRPr="00F1727F">
        <w:rPr>
          <w:rFonts w:ascii="Arial" w:hAnsi="Arial" w:cs="Arial"/>
          <w:bCs/>
          <w:sz w:val="20"/>
          <w:szCs w:val="20"/>
        </w:rPr>
        <w:t xml:space="preserve"> Hrubý.</w:t>
      </w:r>
      <w:r w:rsidR="00393DFA" w:rsidRPr="00F1727F">
        <w:rPr>
          <w:rFonts w:ascii="Arial" w:hAnsi="Arial" w:cs="Arial"/>
          <w:bCs/>
          <w:sz w:val="20"/>
          <w:szCs w:val="20"/>
        </w:rPr>
        <w:t xml:space="preserve"> </w:t>
      </w:r>
    </w:p>
    <w:p w14:paraId="1806CE6D" w14:textId="42096209" w:rsidR="009E5A56" w:rsidRPr="00F1727F" w:rsidRDefault="009E5A56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4A9025F3" w14:textId="09903909" w:rsidR="00144C68" w:rsidRPr="00F1727F" w:rsidRDefault="00144C68" w:rsidP="003E050B">
      <w:pPr>
        <w:jc w:val="both"/>
        <w:rPr>
          <w:rFonts w:ascii="Arial" w:hAnsi="Arial" w:cs="Arial"/>
          <w:b/>
          <w:sz w:val="20"/>
          <w:szCs w:val="20"/>
        </w:rPr>
      </w:pPr>
      <w:r w:rsidRPr="00F1727F">
        <w:rPr>
          <w:rFonts w:ascii="Arial" w:hAnsi="Arial" w:cs="Arial"/>
          <w:b/>
          <w:sz w:val="20"/>
          <w:szCs w:val="20"/>
        </w:rPr>
        <w:t xml:space="preserve">Úspěšný rok 2020 pro skupinu Broker Consulting </w:t>
      </w:r>
      <w:r w:rsidR="00B821D7" w:rsidRPr="00F1727F">
        <w:rPr>
          <w:rFonts w:ascii="Arial" w:hAnsi="Arial" w:cs="Arial"/>
          <w:b/>
          <w:sz w:val="20"/>
          <w:szCs w:val="20"/>
        </w:rPr>
        <w:t xml:space="preserve">navzdory </w:t>
      </w:r>
      <w:r w:rsidRPr="00F1727F">
        <w:rPr>
          <w:rFonts w:ascii="Arial" w:hAnsi="Arial" w:cs="Arial"/>
          <w:b/>
          <w:sz w:val="20"/>
          <w:szCs w:val="20"/>
        </w:rPr>
        <w:t>koronaviru</w:t>
      </w:r>
    </w:p>
    <w:p w14:paraId="7D9E41E1" w14:textId="77777777" w:rsidR="00427B33" w:rsidRPr="00F1727F" w:rsidRDefault="00427B33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6DB4A43C" w14:textId="1055A278" w:rsidR="009541FF" w:rsidRDefault="00F46A84" w:rsidP="009541FF">
      <w:pPr>
        <w:jc w:val="both"/>
        <w:rPr>
          <w:rFonts w:ascii="Arial" w:hAnsi="Arial" w:cs="Arial"/>
          <w:bCs/>
          <w:sz w:val="20"/>
          <w:szCs w:val="20"/>
        </w:rPr>
      </w:pPr>
      <w:r w:rsidRPr="00F1727F">
        <w:rPr>
          <w:rFonts w:ascii="Arial" w:hAnsi="Arial" w:cs="Arial"/>
          <w:bCs/>
          <w:sz w:val="20"/>
          <w:szCs w:val="20"/>
        </w:rPr>
        <w:t xml:space="preserve">K rozhodnutí posílit letos developerské aktivity přispěl i fakt, že </w:t>
      </w:r>
      <w:r w:rsidR="0078049F" w:rsidRPr="00F1727F">
        <w:rPr>
          <w:rFonts w:ascii="Arial" w:hAnsi="Arial" w:cs="Arial"/>
          <w:bCs/>
          <w:sz w:val="20"/>
          <w:szCs w:val="20"/>
        </w:rPr>
        <w:t xml:space="preserve">skupině Broker Consulting </w:t>
      </w:r>
      <w:r w:rsidR="00BC659F">
        <w:rPr>
          <w:rFonts w:ascii="Arial" w:hAnsi="Arial" w:cs="Arial"/>
          <w:bCs/>
          <w:sz w:val="20"/>
          <w:szCs w:val="20"/>
        </w:rPr>
        <w:t xml:space="preserve">se i </w:t>
      </w:r>
      <w:r w:rsidR="0078049F" w:rsidRPr="00F1727F">
        <w:rPr>
          <w:rFonts w:ascii="Arial" w:hAnsi="Arial" w:cs="Arial"/>
          <w:bCs/>
          <w:sz w:val="20"/>
          <w:szCs w:val="20"/>
        </w:rPr>
        <w:t>v</w:t>
      </w:r>
      <w:r w:rsidR="00BC659F">
        <w:rPr>
          <w:rFonts w:ascii="Arial" w:hAnsi="Arial" w:cs="Arial"/>
          <w:bCs/>
          <w:sz w:val="20"/>
          <w:szCs w:val="20"/>
        </w:rPr>
        <w:t>e</w:t>
      </w:r>
      <w:r w:rsidR="00C314FE">
        <w:rPr>
          <w:rFonts w:ascii="Arial" w:hAnsi="Arial" w:cs="Arial"/>
          <w:bCs/>
          <w:sz w:val="20"/>
          <w:szCs w:val="20"/>
        </w:rPr>
        <w:t xml:space="preserve"> </w:t>
      </w:r>
      <w:r w:rsidR="00426673" w:rsidRPr="00F1727F">
        <w:rPr>
          <w:rFonts w:ascii="Arial" w:hAnsi="Arial" w:cs="Arial"/>
          <w:bCs/>
          <w:sz w:val="20"/>
          <w:szCs w:val="20"/>
        </w:rPr>
        <w:t xml:space="preserve">značně </w:t>
      </w:r>
      <w:r w:rsidR="0078049F" w:rsidRPr="00F1727F">
        <w:rPr>
          <w:rFonts w:ascii="Arial" w:hAnsi="Arial" w:cs="Arial"/>
          <w:bCs/>
          <w:sz w:val="20"/>
          <w:szCs w:val="20"/>
        </w:rPr>
        <w:t xml:space="preserve">složitém </w:t>
      </w:r>
      <w:r w:rsidR="00BC659F">
        <w:rPr>
          <w:rFonts w:ascii="Arial" w:hAnsi="Arial" w:cs="Arial"/>
          <w:bCs/>
          <w:sz w:val="20"/>
          <w:szCs w:val="20"/>
        </w:rPr>
        <w:t xml:space="preserve">loňském </w:t>
      </w:r>
      <w:r w:rsidR="0078049F" w:rsidRPr="00F1727F">
        <w:rPr>
          <w:rFonts w:ascii="Arial" w:hAnsi="Arial" w:cs="Arial"/>
          <w:bCs/>
          <w:sz w:val="20"/>
          <w:szCs w:val="20"/>
        </w:rPr>
        <w:t xml:space="preserve">roce </w:t>
      </w:r>
      <w:r w:rsidR="009057C8" w:rsidRPr="00F1727F">
        <w:rPr>
          <w:rFonts w:ascii="Arial" w:hAnsi="Arial" w:cs="Arial"/>
          <w:bCs/>
          <w:sz w:val="20"/>
          <w:szCs w:val="20"/>
        </w:rPr>
        <w:t>dařilo</w:t>
      </w:r>
      <w:r w:rsidR="009057C8">
        <w:rPr>
          <w:rFonts w:ascii="Arial" w:hAnsi="Arial" w:cs="Arial"/>
          <w:bCs/>
          <w:sz w:val="20"/>
          <w:szCs w:val="20"/>
        </w:rPr>
        <w:t xml:space="preserve"> </w:t>
      </w:r>
      <w:r w:rsidR="00BC659F">
        <w:rPr>
          <w:rFonts w:ascii="Arial" w:hAnsi="Arial" w:cs="Arial"/>
          <w:bCs/>
          <w:sz w:val="20"/>
          <w:szCs w:val="20"/>
        </w:rPr>
        <w:t>velmi dobře</w:t>
      </w:r>
      <w:r w:rsidR="00974CE4">
        <w:rPr>
          <w:rFonts w:ascii="Arial" w:hAnsi="Arial" w:cs="Arial"/>
          <w:bCs/>
          <w:sz w:val="20"/>
          <w:szCs w:val="20"/>
        </w:rPr>
        <w:t>, když její s</w:t>
      </w:r>
      <w:r w:rsidR="009057C8">
        <w:rPr>
          <w:rFonts w:ascii="Arial" w:hAnsi="Arial" w:cs="Arial"/>
          <w:bCs/>
          <w:sz w:val="20"/>
          <w:szCs w:val="20"/>
        </w:rPr>
        <w:t>l</w:t>
      </w:r>
      <w:r w:rsidR="00974CE4">
        <w:rPr>
          <w:rFonts w:ascii="Arial" w:hAnsi="Arial" w:cs="Arial"/>
          <w:bCs/>
          <w:sz w:val="20"/>
          <w:szCs w:val="20"/>
        </w:rPr>
        <w:t>užby vyhledalo více klientů než v předchozích letech.</w:t>
      </w:r>
      <w:r w:rsidR="0078049F" w:rsidRPr="00F1727F">
        <w:rPr>
          <w:rFonts w:ascii="Arial" w:hAnsi="Arial" w:cs="Arial"/>
          <w:bCs/>
          <w:sz w:val="20"/>
          <w:szCs w:val="20"/>
        </w:rPr>
        <w:t xml:space="preserve"> </w:t>
      </w:r>
      <w:r w:rsidR="00735B10" w:rsidRPr="00F1727F">
        <w:rPr>
          <w:rFonts w:ascii="Arial" w:hAnsi="Arial" w:cs="Arial"/>
          <w:bCs/>
          <w:sz w:val="20"/>
          <w:szCs w:val="20"/>
        </w:rPr>
        <w:t xml:space="preserve">Podle předběžných dat </w:t>
      </w:r>
      <w:r w:rsidR="00426673" w:rsidRPr="00F1727F">
        <w:rPr>
          <w:rFonts w:ascii="Arial" w:hAnsi="Arial" w:cs="Arial"/>
          <w:bCs/>
          <w:sz w:val="20"/>
          <w:szCs w:val="20"/>
        </w:rPr>
        <w:t xml:space="preserve">dosáhla </w:t>
      </w:r>
      <w:r w:rsidR="00735B10" w:rsidRPr="00F1727F">
        <w:rPr>
          <w:rFonts w:ascii="Arial" w:hAnsi="Arial" w:cs="Arial"/>
          <w:bCs/>
          <w:sz w:val="20"/>
          <w:szCs w:val="20"/>
        </w:rPr>
        <w:t xml:space="preserve">skupina </w:t>
      </w:r>
      <w:r w:rsidR="0078049F" w:rsidRPr="00F1727F">
        <w:rPr>
          <w:rFonts w:ascii="Arial" w:hAnsi="Arial" w:cs="Arial"/>
          <w:bCs/>
          <w:sz w:val="20"/>
          <w:szCs w:val="20"/>
        </w:rPr>
        <w:t>za</w:t>
      </w:r>
      <w:r w:rsidR="00C314FE">
        <w:rPr>
          <w:rFonts w:ascii="Arial" w:hAnsi="Arial" w:cs="Arial"/>
          <w:bCs/>
          <w:sz w:val="20"/>
          <w:szCs w:val="20"/>
        </w:rPr>
        <w:t xml:space="preserve"> rok 2020 obratu 2,1 miliardy korun</w:t>
      </w:r>
      <w:r w:rsidR="00426673" w:rsidRPr="00F1727F">
        <w:rPr>
          <w:rFonts w:ascii="Arial" w:hAnsi="Arial" w:cs="Arial"/>
          <w:bCs/>
          <w:sz w:val="20"/>
          <w:szCs w:val="20"/>
        </w:rPr>
        <w:t xml:space="preserve"> a opět tak zaznamenala růst již 22. rok v řadě. O rok dříve činil její</w:t>
      </w:r>
      <w:r w:rsidR="00C314FE">
        <w:rPr>
          <w:rFonts w:ascii="Arial" w:hAnsi="Arial" w:cs="Arial"/>
          <w:bCs/>
          <w:sz w:val="20"/>
          <w:szCs w:val="20"/>
        </w:rPr>
        <w:t xml:space="preserve"> celkový obrat 1,814 miliardy korun</w:t>
      </w:r>
      <w:r w:rsidR="00EE1F5F" w:rsidRPr="00F1727F">
        <w:rPr>
          <w:rFonts w:ascii="Arial" w:hAnsi="Arial" w:cs="Arial"/>
          <w:bCs/>
          <w:sz w:val="20"/>
          <w:szCs w:val="20"/>
        </w:rPr>
        <w:t xml:space="preserve">. </w:t>
      </w:r>
      <w:r w:rsidR="00974CE4">
        <w:rPr>
          <w:rFonts w:ascii="Arial" w:hAnsi="Arial" w:cs="Arial"/>
          <w:bCs/>
          <w:sz w:val="20"/>
          <w:szCs w:val="20"/>
        </w:rPr>
        <w:t>S</w:t>
      </w:r>
      <w:r w:rsidR="009541FF">
        <w:rPr>
          <w:rFonts w:ascii="Arial" w:hAnsi="Arial" w:cs="Arial"/>
          <w:bCs/>
          <w:sz w:val="20"/>
          <w:szCs w:val="20"/>
        </w:rPr>
        <w:t xml:space="preserve">kupina </w:t>
      </w:r>
      <w:r w:rsidR="00974CE4">
        <w:rPr>
          <w:rFonts w:ascii="Arial" w:hAnsi="Arial" w:cs="Arial"/>
          <w:bCs/>
          <w:sz w:val="20"/>
          <w:szCs w:val="20"/>
        </w:rPr>
        <w:t>díky tomu mohla pomoci řadě lidí najít a udržet si novou pracovní příležitost.</w:t>
      </w:r>
      <w:r w:rsidR="009541FF">
        <w:rPr>
          <w:rFonts w:ascii="Arial" w:hAnsi="Arial" w:cs="Arial"/>
          <w:bCs/>
          <w:sz w:val="20"/>
          <w:szCs w:val="20"/>
        </w:rPr>
        <w:t xml:space="preserve"> </w:t>
      </w:r>
      <w:r w:rsidR="00974CE4">
        <w:rPr>
          <w:rFonts w:ascii="Arial" w:hAnsi="Arial" w:cs="Arial"/>
          <w:bCs/>
          <w:sz w:val="20"/>
          <w:szCs w:val="20"/>
        </w:rPr>
        <w:t xml:space="preserve">Jednu z nabízených forem pracovního uplatnění </w:t>
      </w:r>
      <w:r w:rsidR="009541FF">
        <w:rPr>
          <w:rFonts w:ascii="Arial" w:hAnsi="Arial" w:cs="Arial"/>
          <w:bCs/>
          <w:sz w:val="20"/>
          <w:szCs w:val="20"/>
        </w:rPr>
        <w:t xml:space="preserve">u ní v roce 2020 </w:t>
      </w:r>
      <w:r w:rsidR="00974CE4">
        <w:rPr>
          <w:rFonts w:ascii="Arial" w:hAnsi="Arial" w:cs="Arial"/>
          <w:bCs/>
          <w:sz w:val="20"/>
          <w:szCs w:val="20"/>
        </w:rPr>
        <w:t>využilo</w:t>
      </w:r>
      <w:r w:rsidR="009541FF">
        <w:rPr>
          <w:rFonts w:ascii="Arial" w:hAnsi="Arial" w:cs="Arial"/>
          <w:bCs/>
          <w:sz w:val="20"/>
          <w:szCs w:val="20"/>
        </w:rPr>
        <w:t xml:space="preserve"> </w:t>
      </w:r>
      <w:r w:rsidR="00974CE4">
        <w:rPr>
          <w:rFonts w:ascii="Arial" w:hAnsi="Arial" w:cs="Arial"/>
          <w:bCs/>
          <w:sz w:val="20"/>
          <w:szCs w:val="20"/>
        </w:rPr>
        <w:t xml:space="preserve">zhruba </w:t>
      </w:r>
      <w:r w:rsidR="009541FF" w:rsidRPr="00F1727F">
        <w:rPr>
          <w:rFonts w:ascii="Arial" w:hAnsi="Arial" w:cs="Arial"/>
          <w:bCs/>
          <w:sz w:val="20"/>
          <w:szCs w:val="20"/>
        </w:rPr>
        <w:t>1000 lidí</w:t>
      </w:r>
      <w:r w:rsidR="00974CE4">
        <w:rPr>
          <w:rFonts w:ascii="Arial" w:hAnsi="Arial" w:cs="Arial"/>
          <w:bCs/>
          <w:sz w:val="20"/>
          <w:szCs w:val="20"/>
        </w:rPr>
        <w:t>.</w:t>
      </w:r>
    </w:p>
    <w:p w14:paraId="6F4E3875" w14:textId="77777777" w:rsidR="009541FF" w:rsidRDefault="009541FF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61394C34" w14:textId="6E2D6059" w:rsidR="0067391F" w:rsidRDefault="0067391F" w:rsidP="00C314FE">
      <w:pPr>
        <w:pBdr>
          <w:bottom w:val="single" w:sz="4" w:space="1" w:color="auto"/>
        </w:pBdr>
        <w:jc w:val="both"/>
        <w:rPr>
          <w:rStyle w:val="dn"/>
          <w:rFonts w:ascii="Arial" w:hAnsi="Arial"/>
          <w:color w:val="0070C0"/>
          <w:sz w:val="20"/>
          <w:szCs w:val="20"/>
        </w:rPr>
      </w:pPr>
    </w:p>
    <w:p w14:paraId="5DD62107" w14:textId="77777777" w:rsidR="0067391F" w:rsidRDefault="0067391F" w:rsidP="003E050B">
      <w:pPr>
        <w:jc w:val="both"/>
        <w:rPr>
          <w:rStyle w:val="dn"/>
          <w:rFonts w:ascii="Arial" w:hAnsi="Arial"/>
          <w:color w:val="0070C0"/>
          <w:sz w:val="20"/>
          <w:szCs w:val="20"/>
        </w:rPr>
      </w:pPr>
    </w:p>
    <w:p w14:paraId="1DEDCEC5" w14:textId="77777777" w:rsidR="001064B6" w:rsidRPr="00CD458F" w:rsidRDefault="001064B6" w:rsidP="001064B6">
      <w:pPr>
        <w:jc w:val="both"/>
        <w:rPr>
          <w:rFonts w:ascii="Arial" w:hAnsi="Arial" w:cs="Arial"/>
          <w:b/>
          <w:sz w:val="20"/>
          <w:szCs w:val="20"/>
        </w:rPr>
      </w:pPr>
      <w:r w:rsidRPr="00CD458F">
        <w:rPr>
          <w:rFonts w:ascii="Arial" w:hAnsi="Arial" w:cs="Arial"/>
          <w:b/>
          <w:sz w:val="20"/>
          <w:szCs w:val="20"/>
        </w:rPr>
        <w:t>O Broker Consulting</w:t>
      </w:r>
    </w:p>
    <w:p w14:paraId="47220B25" w14:textId="048BB313" w:rsidR="001064B6" w:rsidRDefault="001064B6" w:rsidP="001064B6">
      <w:pPr>
        <w:jc w:val="both"/>
        <w:rPr>
          <w:rFonts w:ascii="Arial" w:hAnsi="Arial" w:cs="Arial"/>
          <w:bCs/>
          <w:sz w:val="20"/>
          <w:szCs w:val="20"/>
        </w:rPr>
      </w:pPr>
      <w:r w:rsidRPr="00CD458F">
        <w:rPr>
          <w:rFonts w:ascii="Arial" w:hAnsi="Arial" w:cs="Arial"/>
          <w:bCs/>
          <w:sz w:val="20"/>
          <w:szCs w:val="20"/>
        </w:rPr>
        <w:t xml:space="preserve">Broker Consulting </w:t>
      </w:r>
      <w:r w:rsidR="00404480">
        <w:rPr>
          <w:rFonts w:ascii="Arial" w:hAnsi="Arial" w:cs="Arial"/>
          <w:bCs/>
          <w:sz w:val="20"/>
          <w:szCs w:val="20"/>
        </w:rPr>
        <w:t xml:space="preserve">je </w:t>
      </w:r>
      <w:r w:rsidRPr="00CD458F">
        <w:rPr>
          <w:rFonts w:ascii="Arial" w:hAnsi="Arial" w:cs="Arial"/>
          <w:bCs/>
          <w:sz w:val="20"/>
          <w:szCs w:val="20"/>
        </w:rPr>
        <w:t xml:space="preserve">největší skupinou na českém a slovenském trhu, která poskytuje služby v oblasti finančního a realitního zprostředkování. Od roku 1998 získala důvěru více než 600 000 klientů. Poskytuje také služby přes 4 000 firmám. Distribuci služeb zajišťuje přibližně 2 000 konzultantů (profesionální konzultanti, zaměstnanci, konzultanti v zapracování v ČR i SR) ve více než 100 kancelářích a 40 franšízových pobočkách OK POINT. Společnost uvedla na český a slovenský trh řadu inovací. Jednalo se například o investice do otevřených podílových fondů se zamykáním zisků nebo unikátní produkty životního dopojištění, které umožňují pojistit smrt a invaliditu za zlomek obvyklých cen. Bankovní, finanční a realitní služby společně, to je franšíza OK POINT, který přináší společnost Broker Consulting ve spolupráci s mBank a MONETA Money Bank. Skupina se kromě finančního a realitního zprostředkování věnuje například developmentu, správě nemovitostí, férovým nebankovním půjčkám. Do širší skupiny patří například Broker </w:t>
      </w:r>
      <w:r w:rsidRPr="00CD458F">
        <w:rPr>
          <w:rFonts w:ascii="Arial" w:hAnsi="Arial" w:cs="Arial"/>
          <w:bCs/>
          <w:sz w:val="20"/>
          <w:szCs w:val="20"/>
        </w:rPr>
        <w:lastRenderedPageBreak/>
        <w:t xml:space="preserve">Consulting ČR, Broker Consulting Slovenská republika, </w:t>
      </w:r>
      <w:proofErr w:type="spellStart"/>
      <w:r w:rsidRPr="00CD458F">
        <w:rPr>
          <w:rFonts w:ascii="Arial" w:hAnsi="Arial" w:cs="Arial"/>
          <w:bCs/>
          <w:sz w:val="20"/>
          <w:szCs w:val="20"/>
        </w:rPr>
        <w:t>ProCredia</w:t>
      </w:r>
      <w:proofErr w:type="spellEnd"/>
      <w:r w:rsidRPr="00CD458F">
        <w:rPr>
          <w:rFonts w:ascii="Arial" w:hAnsi="Arial" w:cs="Arial"/>
          <w:bCs/>
          <w:sz w:val="20"/>
          <w:szCs w:val="20"/>
        </w:rPr>
        <w:t xml:space="preserve">, skupina PRODOMIA Group, BC Real, MONECO investiční společnost, Broker Consulting SICAV. </w:t>
      </w:r>
    </w:p>
    <w:p w14:paraId="00127166" w14:textId="77777777" w:rsidR="001064B6" w:rsidRPr="00CD458F" w:rsidRDefault="00FA6489" w:rsidP="001064B6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1064B6" w:rsidRPr="00A97AF7">
          <w:rPr>
            <w:rStyle w:val="Hypertextovodkaz"/>
            <w:rFonts w:ascii="Arial" w:hAnsi="Arial" w:cs="Arial"/>
            <w:bCs/>
            <w:sz w:val="20"/>
            <w:szCs w:val="20"/>
          </w:rPr>
          <w:t>www.bcas.cz</w:t>
        </w:r>
      </w:hyperlink>
      <w:r w:rsidR="001064B6">
        <w:rPr>
          <w:rFonts w:ascii="Arial" w:hAnsi="Arial" w:cs="Arial"/>
          <w:bCs/>
          <w:sz w:val="20"/>
          <w:szCs w:val="20"/>
        </w:rPr>
        <w:t xml:space="preserve"> </w:t>
      </w:r>
    </w:p>
    <w:p w14:paraId="3B1513DA" w14:textId="32A766E7" w:rsidR="0067391F" w:rsidRDefault="0067391F" w:rsidP="003E050B">
      <w:pPr>
        <w:jc w:val="both"/>
        <w:rPr>
          <w:rStyle w:val="dn"/>
          <w:rFonts w:ascii="Arial" w:hAnsi="Arial"/>
          <w:color w:val="0070C0"/>
          <w:sz w:val="20"/>
          <w:szCs w:val="20"/>
        </w:rPr>
      </w:pPr>
    </w:p>
    <w:p w14:paraId="5B237FD6" w14:textId="77777777" w:rsidR="0067391F" w:rsidRDefault="0067391F" w:rsidP="003E050B">
      <w:pPr>
        <w:jc w:val="both"/>
        <w:rPr>
          <w:rStyle w:val="dn"/>
          <w:rFonts w:ascii="Arial" w:hAnsi="Arial"/>
          <w:color w:val="0070C0"/>
          <w:sz w:val="20"/>
          <w:szCs w:val="20"/>
        </w:rPr>
      </w:pPr>
    </w:p>
    <w:p w14:paraId="623150BA" w14:textId="77777777" w:rsidR="00CD458F" w:rsidRPr="00CD458F" w:rsidRDefault="00CD458F" w:rsidP="003E050B">
      <w:pPr>
        <w:jc w:val="both"/>
        <w:rPr>
          <w:rFonts w:ascii="Arial" w:hAnsi="Arial" w:cs="Arial"/>
          <w:b/>
          <w:sz w:val="20"/>
          <w:szCs w:val="20"/>
        </w:rPr>
      </w:pPr>
      <w:r w:rsidRPr="00CD458F">
        <w:rPr>
          <w:rFonts w:ascii="Arial" w:hAnsi="Arial" w:cs="Arial"/>
          <w:b/>
          <w:sz w:val="20"/>
          <w:szCs w:val="20"/>
        </w:rPr>
        <w:t>O BC Real</w:t>
      </w:r>
    </w:p>
    <w:p w14:paraId="18F2CBA9" w14:textId="0FF40C66" w:rsidR="00CD458F" w:rsidRPr="00CD458F" w:rsidRDefault="00CD458F" w:rsidP="003E050B">
      <w:pPr>
        <w:jc w:val="both"/>
        <w:rPr>
          <w:rFonts w:ascii="Arial" w:hAnsi="Arial" w:cs="Arial"/>
          <w:bCs/>
          <w:sz w:val="20"/>
          <w:szCs w:val="20"/>
        </w:rPr>
      </w:pPr>
      <w:r w:rsidRPr="00CD458F">
        <w:rPr>
          <w:rFonts w:ascii="Arial" w:hAnsi="Arial" w:cs="Arial"/>
          <w:bCs/>
          <w:sz w:val="20"/>
          <w:szCs w:val="20"/>
        </w:rPr>
        <w:t>Společnost BC Real, a.s. je zaměřena na kompletní přípravu a realizaci developerských projektů v atraktivních lokalitách města Plzně. Staví nové byty, rodinné domy a realizuje i prodej pozemků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D458F">
        <w:rPr>
          <w:rFonts w:ascii="Arial" w:hAnsi="Arial" w:cs="Arial"/>
          <w:bCs/>
          <w:sz w:val="20"/>
          <w:szCs w:val="20"/>
        </w:rPr>
        <w:t xml:space="preserve">Společnost BC Real, a.s. byla založena na podzim roku 2006 jako další společnost ve skupině společností Broker Consulting, a.s. </w:t>
      </w:r>
    </w:p>
    <w:p w14:paraId="357BCEF0" w14:textId="33A848DE" w:rsidR="00CD458F" w:rsidRPr="00F1727F" w:rsidRDefault="00FA6489" w:rsidP="003E050B">
      <w:pPr>
        <w:jc w:val="both"/>
        <w:rPr>
          <w:rStyle w:val="Hypertextovodkaz"/>
          <w:bCs/>
        </w:rPr>
      </w:pPr>
      <w:hyperlink r:id="rId12" w:history="1">
        <w:r w:rsidR="00CD458F" w:rsidRPr="00F1727F">
          <w:rPr>
            <w:rStyle w:val="Hypertextovodkaz"/>
            <w:rFonts w:ascii="Arial" w:hAnsi="Arial" w:cs="Arial"/>
            <w:bCs/>
            <w:sz w:val="20"/>
            <w:szCs w:val="20"/>
          </w:rPr>
          <w:t>www.bcreal.cz/</w:t>
        </w:r>
      </w:hyperlink>
      <w:r w:rsidR="00CD458F" w:rsidRPr="00F1727F">
        <w:rPr>
          <w:rStyle w:val="Hypertextovodkaz"/>
          <w:bCs/>
        </w:rPr>
        <w:t xml:space="preserve"> </w:t>
      </w:r>
    </w:p>
    <w:p w14:paraId="4548742A" w14:textId="208C5623" w:rsidR="001550FB" w:rsidRDefault="001550FB" w:rsidP="003E050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42D12F37" w14:textId="77777777" w:rsidR="0067391F" w:rsidRPr="006C7733" w:rsidRDefault="0067391F" w:rsidP="003E050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D2F24A2" w14:textId="58BBA67B" w:rsidR="00CD458F" w:rsidRPr="00CD458F" w:rsidRDefault="00CD458F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16537374" w14:textId="176951AF" w:rsidR="00CD458F" w:rsidRDefault="00CD458F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3E6F5362" w14:textId="4FDEA1E7" w:rsidR="009057C8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2AF609D0" w14:textId="77777777" w:rsidR="009057C8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5C230B7A" w14:textId="77777777" w:rsidR="009057C8" w:rsidRDefault="009057C8" w:rsidP="009057C8">
      <w:pPr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D60D98">
        <w:rPr>
          <w:rFonts w:ascii="Arial" w:eastAsia="Calibri" w:hAnsi="Arial" w:cs="Arial"/>
          <w:b/>
          <w:bCs/>
          <w:noProof/>
          <w:sz w:val="20"/>
          <w:szCs w:val="20"/>
        </w:rPr>
        <w:t>Kontakt pro média:</w:t>
      </w:r>
    </w:p>
    <w:p w14:paraId="477C25A8" w14:textId="77777777" w:rsidR="009057C8" w:rsidRPr="00D60D98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  <w:lang w:bidi="ar-SA"/>
        </w:rPr>
      </w:pPr>
      <w:r>
        <w:rPr>
          <w:sz w:val="20"/>
        </w:rPr>
        <w:br/>
      </w:r>
      <w:r w:rsidRPr="00D60D98">
        <w:rPr>
          <w:rFonts w:ascii="Arial" w:eastAsia="Calibri" w:hAnsi="Arial" w:cs="Arial"/>
          <w:b/>
          <w:bCs/>
          <w:noProof/>
          <w:sz w:val="18"/>
          <w:szCs w:val="18"/>
        </w:rPr>
        <w:t>Tereza Kunová</w:t>
      </w:r>
    </w:p>
    <w:p w14:paraId="00BD6BD0" w14:textId="77777777" w:rsidR="009057C8" w:rsidRPr="00D60D98" w:rsidRDefault="009057C8" w:rsidP="009057C8">
      <w:pPr>
        <w:spacing w:after="225"/>
        <w:rPr>
          <w:rFonts w:ascii="Arial" w:eastAsia="Calibri" w:hAnsi="Arial" w:cs="Arial"/>
          <w:noProof/>
          <w:sz w:val="18"/>
          <w:szCs w:val="18"/>
        </w:rPr>
      </w:pPr>
      <w:r w:rsidRPr="00D60D98">
        <w:rPr>
          <w:rFonts w:ascii="Arial" w:eastAsia="Calibri" w:hAnsi="Arial" w:cs="Arial"/>
          <w:noProof/>
          <w:sz w:val="18"/>
          <w:szCs w:val="18"/>
        </w:rPr>
        <w:t>Specialistka PR a externí komunikace</w:t>
      </w:r>
    </w:p>
    <w:p w14:paraId="7DDDAC80" w14:textId="77777777" w:rsidR="009057C8" w:rsidRPr="00D60D98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</w:rPr>
      </w:pPr>
      <w:r w:rsidRPr="00D60D98">
        <w:rPr>
          <w:rFonts w:ascii="Arial" w:eastAsia="Calibri" w:hAnsi="Arial" w:cs="Arial"/>
          <w:b/>
          <w:bCs/>
          <w:noProof/>
          <w:sz w:val="18"/>
          <w:szCs w:val="18"/>
        </w:rPr>
        <w:t>Broker Consulting, a.s.,</w:t>
      </w:r>
    </w:p>
    <w:p w14:paraId="3C2FB592" w14:textId="77777777" w:rsidR="009057C8" w:rsidRPr="00D60D98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D60D98">
        <w:rPr>
          <w:rFonts w:ascii="Arial" w:eastAsia="Calibri" w:hAnsi="Arial" w:cs="Arial"/>
          <w:noProof/>
          <w:sz w:val="18"/>
          <w:szCs w:val="18"/>
        </w:rPr>
        <w:t>Office Park Nové Butovice (Budova B)</w:t>
      </w:r>
      <w:r w:rsidRPr="00D60D98">
        <w:rPr>
          <w:rFonts w:ascii="Arial" w:eastAsia="Calibri" w:hAnsi="Arial" w:cs="Arial"/>
          <w:noProof/>
          <w:sz w:val="18"/>
          <w:szCs w:val="18"/>
        </w:rPr>
        <w:br/>
        <w:t>Bucharova 1423/6</w:t>
      </w:r>
      <w:r>
        <w:rPr>
          <w:rFonts w:ascii="Arial" w:eastAsia="Calibri" w:hAnsi="Arial" w:cs="Arial"/>
          <w:noProof/>
          <w:sz w:val="18"/>
          <w:szCs w:val="18"/>
        </w:rPr>
        <w:t xml:space="preserve">, </w:t>
      </w:r>
      <w:r w:rsidRPr="00D60D98">
        <w:rPr>
          <w:rFonts w:ascii="Arial" w:eastAsia="Calibri" w:hAnsi="Arial" w:cs="Arial"/>
          <w:noProof/>
          <w:sz w:val="18"/>
          <w:szCs w:val="18"/>
        </w:rPr>
        <w:t>158 00 Praha 5</w:t>
      </w:r>
    </w:p>
    <w:p w14:paraId="0D5565DA" w14:textId="77777777" w:rsidR="009057C8" w:rsidRPr="00D60D98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D60D98">
        <w:rPr>
          <w:rFonts w:ascii="Arial" w:eastAsia="Calibri" w:hAnsi="Arial" w:cs="Arial"/>
          <w:noProof/>
          <w:sz w:val="18"/>
          <w:szCs w:val="18"/>
        </w:rPr>
        <w:t>mobil: +420 731 537 716</w:t>
      </w:r>
    </w:p>
    <w:p w14:paraId="20311E6F" w14:textId="77777777" w:rsidR="009057C8" w:rsidRPr="00D60D98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D60D98">
        <w:rPr>
          <w:rFonts w:ascii="Arial" w:eastAsia="Calibri" w:hAnsi="Arial" w:cs="Arial"/>
          <w:noProof/>
          <w:sz w:val="18"/>
          <w:szCs w:val="18"/>
        </w:rPr>
        <w:t xml:space="preserve">e-mail: </w:t>
      </w:r>
      <w:hyperlink r:id="rId13" w:history="1">
        <w:r w:rsidRPr="00D60D98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tereza.kunova@bcas.cz</w:t>
        </w:r>
      </w:hyperlink>
      <w:r w:rsidRPr="00D60D98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14:paraId="230A45C3" w14:textId="77777777" w:rsidR="009057C8" w:rsidRPr="00CD458F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sectPr w:rsidR="009057C8" w:rsidRPr="00CD458F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4708" w14:textId="77777777" w:rsidR="00FA6489" w:rsidRDefault="00FA6489">
      <w:r>
        <w:separator/>
      </w:r>
    </w:p>
  </w:endnote>
  <w:endnote w:type="continuationSeparator" w:id="0">
    <w:p w14:paraId="5872B8A9" w14:textId="77777777" w:rsidR="00FA6489" w:rsidRDefault="00F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8E5" w14:textId="77777777" w:rsidR="00FA6489" w:rsidRDefault="00FA6489">
      <w:r>
        <w:separator/>
      </w:r>
    </w:p>
  </w:footnote>
  <w:footnote w:type="continuationSeparator" w:id="0">
    <w:p w14:paraId="59F866C6" w14:textId="77777777" w:rsidR="00FA6489" w:rsidRDefault="00FA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32320559">
          <wp:simplePos x="0" y="0"/>
          <wp:positionH relativeFrom="margin">
            <wp:align>left</wp:align>
          </wp:positionH>
          <wp:positionV relativeFrom="page">
            <wp:posOffset>347345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E9F"/>
    <w:rsid w:val="00010D04"/>
    <w:rsid w:val="000120DE"/>
    <w:rsid w:val="00026F23"/>
    <w:rsid w:val="00030741"/>
    <w:rsid w:val="000311F1"/>
    <w:rsid w:val="00031728"/>
    <w:rsid w:val="00032315"/>
    <w:rsid w:val="00032D94"/>
    <w:rsid w:val="000374D7"/>
    <w:rsid w:val="0005423A"/>
    <w:rsid w:val="00054619"/>
    <w:rsid w:val="0006554C"/>
    <w:rsid w:val="00092A12"/>
    <w:rsid w:val="00094C65"/>
    <w:rsid w:val="000A3384"/>
    <w:rsid w:val="000A77DA"/>
    <w:rsid w:val="000C799E"/>
    <w:rsid w:val="000D692C"/>
    <w:rsid w:val="000E1A16"/>
    <w:rsid w:val="000E26AE"/>
    <w:rsid w:val="000E41EB"/>
    <w:rsid w:val="000F0758"/>
    <w:rsid w:val="000F396E"/>
    <w:rsid w:val="000F3B07"/>
    <w:rsid w:val="000F6249"/>
    <w:rsid w:val="001064B6"/>
    <w:rsid w:val="00117D51"/>
    <w:rsid w:val="0012713E"/>
    <w:rsid w:val="0013044E"/>
    <w:rsid w:val="00130B20"/>
    <w:rsid w:val="00131DF9"/>
    <w:rsid w:val="00131F7B"/>
    <w:rsid w:val="0013512D"/>
    <w:rsid w:val="001364B6"/>
    <w:rsid w:val="00137003"/>
    <w:rsid w:val="001432DB"/>
    <w:rsid w:val="00144692"/>
    <w:rsid w:val="00144C68"/>
    <w:rsid w:val="001479CE"/>
    <w:rsid w:val="00150E36"/>
    <w:rsid w:val="001550FB"/>
    <w:rsid w:val="00155CCB"/>
    <w:rsid w:val="001708F8"/>
    <w:rsid w:val="00170B59"/>
    <w:rsid w:val="00177E6B"/>
    <w:rsid w:val="00193DA2"/>
    <w:rsid w:val="0019501C"/>
    <w:rsid w:val="001A54DD"/>
    <w:rsid w:val="001A5870"/>
    <w:rsid w:val="001A6E5F"/>
    <w:rsid w:val="001B1C05"/>
    <w:rsid w:val="001B7271"/>
    <w:rsid w:val="001D42AC"/>
    <w:rsid w:val="001E2A7A"/>
    <w:rsid w:val="00203B3D"/>
    <w:rsid w:val="002108A4"/>
    <w:rsid w:val="002223AD"/>
    <w:rsid w:val="00235340"/>
    <w:rsid w:val="00241313"/>
    <w:rsid w:val="00246007"/>
    <w:rsid w:val="00251B9D"/>
    <w:rsid w:val="0025264B"/>
    <w:rsid w:val="0025526B"/>
    <w:rsid w:val="00256CDD"/>
    <w:rsid w:val="00267872"/>
    <w:rsid w:val="00270DB3"/>
    <w:rsid w:val="002734C4"/>
    <w:rsid w:val="00275A59"/>
    <w:rsid w:val="0028347F"/>
    <w:rsid w:val="00284068"/>
    <w:rsid w:val="002975D8"/>
    <w:rsid w:val="00297A3F"/>
    <w:rsid w:val="002A63E5"/>
    <w:rsid w:val="002B5023"/>
    <w:rsid w:val="002C0BB2"/>
    <w:rsid w:val="002C6596"/>
    <w:rsid w:val="002E595A"/>
    <w:rsid w:val="002F47C4"/>
    <w:rsid w:val="00300AFB"/>
    <w:rsid w:val="00312713"/>
    <w:rsid w:val="003128F8"/>
    <w:rsid w:val="003209EF"/>
    <w:rsid w:val="00320A26"/>
    <w:rsid w:val="003216A2"/>
    <w:rsid w:val="00323662"/>
    <w:rsid w:val="00324A94"/>
    <w:rsid w:val="00330918"/>
    <w:rsid w:val="00340975"/>
    <w:rsid w:val="00347557"/>
    <w:rsid w:val="003577CE"/>
    <w:rsid w:val="00362ABC"/>
    <w:rsid w:val="00363F70"/>
    <w:rsid w:val="00364AC3"/>
    <w:rsid w:val="00373E95"/>
    <w:rsid w:val="0038398B"/>
    <w:rsid w:val="00384C67"/>
    <w:rsid w:val="0038737E"/>
    <w:rsid w:val="00392F65"/>
    <w:rsid w:val="00393DFA"/>
    <w:rsid w:val="00394A06"/>
    <w:rsid w:val="003A3FC0"/>
    <w:rsid w:val="003B3739"/>
    <w:rsid w:val="003B43AA"/>
    <w:rsid w:val="003E050B"/>
    <w:rsid w:val="003E294B"/>
    <w:rsid w:val="003F061B"/>
    <w:rsid w:val="003F4069"/>
    <w:rsid w:val="003F5EB9"/>
    <w:rsid w:val="003F73C3"/>
    <w:rsid w:val="00404480"/>
    <w:rsid w:val="0040621B"/>
    <w:rsid w:val="004213A6"/>
    <w:rsid w:val="004222B0"/>
    <w:rsid w:val="00423831"/>
    <w:rsid w:val="00426673"/>
    <w:rsid w:val="00427B33"/>
    <w:rsid w:val="00430B47"/>
    <w:rsid w:val="004310AE"/>
    <w:rsid w:val="00434BC6"/>
    <w:rsid w:val="00445D0A"/>
    <w:rsid w:val="00445E76"/>
    <w:rsid w:val="00451FBB"/>
    <w:rsid w:val="0045531F"/>
    <w:rsid w:val="0046226D"/>
    <w:rsid w:val="00480831"/>
    <w:rsid w:val="00491B34"/>
    <w:rsid w:val="00496574"/>
    <w:rsid w:val="004B0729"/>
    <w:rsid w:val="004B29A0"/>
    <w:rsid w:val="004C4480"/>
    <w:rsid w:val="004C45C3"/>
    <w:rsid w:val="004D39C0"/>
    <w:rsid w:val="004D7C7E"/>
    <w:rsid w:val="004E1627"/>
    <w:rsid w:val="004E581D"/>
    <w:rsid w:val="004F3261"/>
    <w:rsid w:val="004F5C5B"/>
    <w:rsid w:val="004F6074"/>
    <w:rsid w:val="0050646A"/>
    <w:rsid w:val="00520287"/>
    <w:rsid w:val="00523B23"/>
    <w:rsid w:val="00531D18"/>
    <w:rsid w:val="00533350"/>
    <w:rsid w:val="0054700E"/>
    <w:rsid w:val="0055350F"/>
    <w:rsid w:val="00553D10"/>
    <w:rsid w:val="00555BBD"/>
    <w:rsid w:val="00567866"/>
    <w:rsid w:val="00581E61"/>
    <w:rsid w:val="00587B4C"/>
    <w:rsid w:val="00594CCA"/>
    <w:rsid w:val="005B13F7"/>
    <w:rsid w:val="005C1BA5"/>
    <w:rsid w:val="005D1BB8"/>
    <w:rsid w:val="005E7CFD"/>
    <w:rsid w:val="005F34D7"/>
    <w:rsid w:val="006026CF"/>
    <w:rsid w:val="006046F4"/>
    <w:rsid w:val="0061257E"/>
    <w:rsid w:val="00621074"/>
    <w:rsid w:val="00622222"/>
    <w:rsid w:val="006377E9"/>
    <w:rsid w:val="006408F8"/>
    <w:rsid w:val="00647E81"/>
    <w:rsid w:val="00650D9C"/>
    <w:rsid w:val="00661912"/>
    <w:rsid w:val="006662EE"/>
    <w:rsid w:val="00667B93"/>
    <w:rsid w:val="0067391F"/>
    <w:rsid w:val="0068120C"/>
    <w:rsid w:val="00681566"/>
    <w:rsid w:val="006825A0"/>
    <w:rsid w:val="006A1B50"/>
    <w:rsid w:val="006A46CC"/>
    <w:rsid w:val="006A73DB"/>
    <w:rsid w:val="006B111F"/>
    <w:rsid w:val="006B3D5C"/>
    <w:rsid w:val="006C115B"/>
    <w:rsid w:val="006C3C40"/>
    <w:rsid w:val="006C6899"/>
    <w:rsid w:val="006C7733"/>
    <w:rsid w:val="006D0172"/>
    <w:rsid w:val="006D0FD8"/>
    <w:rsid w:val="006D2759"/>
    <w:rsid w:val="006D6FA7"/>
    <w:rsid w:val="006E1F02"/>
    <w:rsid w:val="006F0460"/>
    <w:rsid w:val="006F262E"/>
    <w:rsid w:val="006F7C4F"/>
    <w:rsid w:val="00721D5B"/>
    <w:rsid w:val="00725F77"/>
    <w:rsid w:val="00731789"/>
    <w:rsid w:val="0073392D"/>
    <w:rsid w:val="00735B10"/>
    <w:rsid w:val="00736A80"/>
    <w:rsid w:val="00737D4B"/>
    <w:rsid w:val="00744B46"/>
    <w:rsid w:val="00756CB4"/>
    <w:rsid w:val="00761591"/>
    <w:rsid w:val="007660FA"/>
    <w:rsid w:val="0078049F"/>
    <w:rsid w:val="007919C9"/>
    <w:rsid w:val="007A1939"/>
    <w:rsid w:val="007A21D6"/>
    <w:rsid w:val="007A56FE"/>
    <w:rsid w:val="007B0579"/>
    <w:rsid w:val="007B0DF8"/>
    <w:rsid w:val="007B144F"/>
    <w:rsid w:val="007D548E"/>
    <w:rsid w:val="007F0521"/>
    <w:rsid w:val="007F39FB"/>
    <w:rsid w:val="00800E01"/>
    <w:rsid w:val="0080704C"/>
    <w:rsid w:val="008169D1"/>
    <w:rsid w:val="00821411"/>
    <w:rsid w:val="0083124B"/>
    <w:rsid w:val="00876968"/>
    <w:rsid w:val="008835B3"/>
    <w:rsid w:val="008853EF"/>
    <w:rsid w:val="00895D46"/>
    <w:rsid w:val="008966FB"/>
    <w:rsid w:val="008A04D3"/>
    <w:rsid w:val="008B603D"/>
    <w:rsid w:val="008C24AB"/>
    <w:rsid w:val="008D35DD"/>
    <w:rsid w:val="008D3D3B"/>
    <w:rsid w:val="008D5477"/>
    <w:rsid w:val="008D6EC3"/>
    <w:rsid w:val="008E0B1C"/>
    <w:rsid w:val="008E5004"/>
    <w:rsid w:val="009057C8"/>
    <w:rsid w:val="00913370"/>
    <w:rsid w:val="00915ADA"/>
    <w:rsid w:val="00916D7C"/>
    <w:rsid w:val="0093229B"/>
    <w:rsid w:val="0093589F"/>
    <w:rsid w:val="009427B5"/>
    <w:rsid w:val="00943AD5"/>
    <w:rsid w:val="009466E8"/>
    <w:rsid w:val="00953CD0"/>
    <w:rsid w:val="009541FF"/>
    <w:rsid w:val="00954BBE"/>
    <w:rsid w:val="00960235"/>
    <w:rsid w:val="009676B8"/>
    <w:rsid w:val="00974CE4"/>
    <w:rsid w:val="009754AE"/>
    <w:rsid w:val="009917A7"/>
    <w:rsid w:val="00997A87"/>
    <w:rsid w:val="009A1910"/>
    <w:rsid w:val="009A5F05"/>
    <w:rsid w:val="009A60E8"/>
    <w:rsid w:val="009C0ECA"/>
    <w:rsid w:val="009D556F"/>
    <w:rsid w:val="009E317D"/>
    <w:rsid w:val="009E4CC6"/>
    <w:rsid w:val="009E5A56"/>
    <w:rsid w:val="009F162B"/>
    <w:rsid w:val="009F2CB2"/>
    <w:rsid w:val="009F59EE"/>
    <w:rsid w:val="009F733A"/>
    <w:rsid w:val="00A00614"/>
    <w:rsid w:val="00A045D3"/>
    <w:rsid w:val="00A11FB1"/>
    <w:rsid w:val="00A12BB8"/>
    <w:rsid w:val="00A14DF3"/>
    <w:rsid w:val="00A17222"/>
    <w:rsid w:val="00A17C70"/>
    <w:rsid w:val="00A310D5"/>
    <w:rsid w:val="00A36D79"/>
    <w:rsid w:val="00A44C14"/>
    <w:rsid w:val="00A519BA"/>
    <w:rsid w:val="00A75DC0"/>
    <w:rsid w:val="00A8473E"/>
    <w:rsid w:val="00A86C55"/>
    <w:rsid w:val="00A942EE"/>
    <w:rsid w:val="00AA1C17"/>
    <w:rsid w:val="00AA2ADB"/>
    <w:rsid w:val="00AA3C5C"/>
    <w:rsid w:val="00AC66A4"/>
    <w:rsid w:val="00AD2AA1"/>
    <w:rsid w:val="00AE08AD"/>
    <w:rsid w:val="00AE1134"/>
    <w:rsid w:val="00B166D7"/>
    <w:rsid w:val="00B223B3"/>
    <w:rsid w:val="00B244B9"/>
    <w:rsid w:val="00B3074F"/>
    <w:rsid w:val="00B33387"/>
    <w:rsid w:val="00B336F5"/>
    <w:rsid w:val="00B43417"/>
    <w:rsid w:val="00B447D9"/>
    <w:rsid w:val="00B500BA"/>
    <w:rsid w:val="00B63346"/>
    <w:rsid w:val="00B64FA8"/>
    <w:rsid w:val="00B65A3B"/>
    <w:rsid w:val="00B66253"/>
    <w:rsid w:val="00B821D7"/>
    <w:rsid w:val="00B95EBA"/>
    <w:rsid w:val="00BA709B"/>
    <w:rsid w:val="00BB0B1D"/>
    <w:rsid w:val="00BB55C4"/>
    <w:rsid w:val="00BB6E6E"/>
    <w:rsid w:val="00BC30D1"/>
    <w:rsid w:val="00BC659F"/>
    <w:rsid w:val="00BD2962"/>
    <w:rsid w:val="00BD5367"/>
    <w:rsid w:val="00BE34DD"/>
    <w:rsid w:val="00BE6D8F"/>
    <w:rsid w:val="00C0156C"/>
    <w:rsid w:val="00C02A6D"/>
    <w:rsid w:val="00C05433"/>
    <w:rsid w:val="00C14976"/>
    <w:rsid w:val="00C210E8"/>
    <w:rsid w:val="00C222E1"/>
    <w:rsid w:val="00C314FE"/>
    <w:rsid w:val="00C327A4"/>
    <w:rsid w:val="00C411C6"/>
    <w:rsid w:val="00C52CAE"/>
    <w:rsid w:val="00C5625D"/>
    <w:rsid w:val="00C64B40"/>
    <w:rsid w:val="00C709A8"/>
    <w:rsid w:val="00C73B2D"/>
    <w:rsid w:val="00C75E94"/>
    <w:rsid w:val="00C935C4"/>
    <w:rsid w:val="00CA1BD9"/>
    <w:rsid w:val="00CB16BA"/>
    <w:rsid w:val="00CB3490"/>
    <w:rsid w:val="00CB6CA8"/>
    <w:rsid w:val="00CC1A1C"/>
    <w:rsid w:val="00CC2465"/>
    <w:rsid w:val="00CC420A"/>
    <w:rsid w:val="00CD3324"/>
    <w:rsid w:val="00CD458F"/>
    <w:rsid w:val="00CE0608"/>
    <w:rsid w:val="00CE660D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46609"/>
    <w:rsid w:val="00D470DC"/>
    <w:rsid w:val="00D502DC"/>
    <w:rsid w:val="00D80B6D"/>
    <w:rsid w:val="00D8513A"/>
    <w:rsid w:val="00D861B1"/>
    <w:rsid w:val="00DA47F7"/>
    <w:rsid w:val="00DA59FF"/>
    <w:rsid w:val="00DC49D5"/>
    <w:rsid w:val="00DE58E9"/>
    <w:rsid w:val="00DE693B"/>
    <w:rsid w:val="00DE6A74"/>
    <w:rsid w:val="00E10A2A"/>
    <w:rsid w:val="00E12613"/>
    <w:rsid w:val="00E14759"/>
    <w:rsid w:val="00E17539"/>
    <w:rsid w:val="00E30CA0"/>
    <w:rsid w:val="00E53D67"/>
    <w:rsid w:val="00E56B0B"/>
    <w:rsid w:val="00E67800"/>
    <w:rsid w:val="00E70966"/>
    <w:rsid w:val="00E80F46"/>
    <w:rsid w:val="00E81991"/>
    <w:rsid w:val="00E92D9D"/>
    <w:rsid w:val="00E9666C"/>
    <w:rsid w:val="00EB03B8"/>
    <w:rsid w:val="00EB03E7"/>
    <w:rsid w:val="00EC643E"/>
    <w:rsid w:val="00ED5B3E"/>
    <w:rsid w:val="00EE1F5F"/>
    <w:rsid w:val="00F0040C"/>
    <w:rsid w:val="00F1727F"/>
    <w:rsid w:val="00F20285"/>
    <w:rsid w:val="00F4458C"/>
    <w:rsid w:val="00F44AEB"/>
    <w:rsid w:val="00F45620"/>
    <w:rsid w:val="00F46A84"/>
    <w:rsid w:val="00F575C6"/>
    <w:rsid w:val="00F6166F"/>
    <w:rsid w:val="00F672C1"/>
    <w:rsid w:val="00F739AD"/>
    <w:rsid w:val="00F758EC"/>
    <w:rsid w:val="00F76C54"/>
    <w:rsid w:val="00F90831"/>
    <w:rsid w:val="00F9110D"/>
    <w:rsid w:val="00F91686"/>
    <w:rsid w:val="00F92B15"/>
    <w:rsid w:val="00F92CE3"/>
    <w:rsid w:val="00F93861"/>
    <w:rsid w:val="00FA6489"/>
    <w:rsid w:val="00FB091A"/>
    <w:rsid w:val="00FB11F2"/>
    <w:rsid w:val="00FB551F"/>
    <w:rsid w:val="00FB73D7"/>
    <w:rsid w:val="00FC0E4C"/>
    <w:rsid w:val="00FC7F27"/>
    <w:rsid w:val="00FD14D5"/>
    <w:rsid w:val="00FD3F50"/>
    <w:rsid w:val="00FE3A3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ereza.kunova@b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rea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C36D-2F78-4412-8ED5-92B37795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Tereza Kunová</cp:lastModifiedBy>
  <cp:revision>4</cp:revision>
  <cp:lastPrinted>2021-02-02T12:49:00Z</cp:lastPrinted>
  <dcterms:created xsi:type="dcterms:W3CDTF">2021-02-05T13:36:00Z</dcterms:created>
  <dcterms:modified xsi:type="dcterms:W3CDTF">2021-02-11T09:25:00Z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