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718E6546" w14:textId="77777777" w:rsidR="00D80B6D" w:rsidRDefault="00D80B6D"/>
        <w:p w14:paraId="7ED014A1" w14:textId="77777777" w:rsidR="00D80B6D" w:rsidRDefault="00D80B6D" w:rsidP="00D80B6D">
          <w:pPr>
            <w:pStyle w:val="Nadpis3"/>
            <w:spacing w:before="10"/>
            <w:rPr>
              <w:rFonts w:ascii="Arial" w:hAnsi="Arial" w:cs="Arial"/>
              <w:color w:val="1D1D1B"/>
            </w:rPr>
          </w:pPr>
        </w:p>
        <w:p w14:paraId="0FB45B67"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15233C1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PODÍLOVÝCH FONDŮ </w:t>
          </w:r>
          <w:r w:rsidRPr="00491445">
            <w:rPr>
              <w:rFonts w:ascii="Arial" w:hAnsi="Arial" w:cs="Arial"/>
              <w:color w:val="CD1719"/>
              <w:sz w:val="24"/>
            </w:rPr>
            <w:t>|</w:t>
          </w:r>
          <w:r w:rsidRPr="00491445">
            <w:rPr>
              <w:rFonts w:ascii="Arial" w:hAnsi="Arial" w:cs="Arial"/>
              <w:color w:val="1D1D1B"/>
              <w:sz w:val="24"/>
            </w:rPr>
            <w:t xml:space="preserve"> INDEX TYPICKÉHO INVESTORA </w:t>
          </w:r>
        </w:p>
        <w:p w14:paraId="03C4DE47" w14:textId="77777777" w:rsidR="0009776B" w:rsidRDefault="00D80B6D" w:rsidP="00D80B6D">
          <w:pPr>
            <w:spacing w:before="230"/>
            <w:ind w:left="165"/>
            <w:jc w:val="center"/>
            <w:rPr>
              <w:rFonts w:ascii="Arial" w:hAnsi="Arial" w:cs="Arial"/>
              <w:color w:val="1D1D1B"/>
              <w:sz w:val="24"/>
            </w:rPr>
          </w:pPr>
          <w:r w:rsidRPr="00491445">
            <w:rPr>
              <w:rFonts w:ascii="Arial" w:hAnsi="Arial" w:cs="Arial"/>
              <w:color w:val="1D1D1B"/>
              <w:sz w:val="24"/>
            </w:rPr>
            <w:t xml:space="preserve">INDEX VOLNÝCH PENĚZ DOMÁCNOSTÍ </w:t>
          </w:r>
        </w:p>
        <w:p w14:paraId="32900BCE" w14:textId="77777777" w:rsidR="00D80B6D" w:rsidRPr="00491445" w:rsidRDefault="00D80B6D" w:rsidP="00D80B6D">
          <w:pPr>
            <w:spacing w:before="230"/>
            <w:ind w:left="165"/>
            <w:jc w:val="center"/>
            <w:rPr>
              <w:rFonts w:ascii="Arial" w:hAnsi="Arial" w:cs="Arial"/>
              <w:color w:val="1D1D1B"/>
              <w:sz w:val="24"/>
            </w:rPr>
          </w:pPr>
          <w:r w:rsidRPr="00491445">
            <w:rPr>
              <w:rFonts w:ascii="Arial" w:hAnsi="Arial" w:cs="Arial"/>
              <w:color w:val="1D1D1B"/>
              <w:sz w:val="24"/>
            </w:rPr>
            <w:t xml:space="preserve">POV INDEX </w:t>
          </w:r>
        </w:p>
        <w:p w14:paraId="5B21B8A6" w14:textId="77777777" w:rsidR="00D80B6D" w:rsidRPr="0009776B" w:rsidRDefault="00D80B6D" w:rsidP="00D80B6D">
          <w:pPr>
            <w:spacing w:before="230"/>
            <w:ind w:left="165"/>
            <w:jc w:val="center"/>
            <w:rPr>
              <w:rFonts w:ascii="Arial" w:hAnsi="Arial" w:cs="Arial"/>
              <w:b/>
              <w:color w:val="CD1719"/>
              <w:sz w:val="24"/>
            </w:rPr>
          </w:pPr>
          <w:r w:rsidRPr="0009776B">
            <w:rPr>
              <w:rFonts w:ascii="Arial" w:hAnsi="Arial" w:cs="Arial"/>
              <w:b/>
              <w:color w:val="1D1D1B"/>
              <w:sz w:val="24"/>
            </w:rPr>
            <w:t xml:space="preserve">INDEX SPOTŘEBITELSKÝCH ÚVĚRŮ </w:t>
          </w:r>
          <w:r w:rsidRPr="0009776B">
            <w:rPr>
              <w:rFonts w:ascii="Arial" w:hAnsi="Arial" w:cs="Arial"/>
              <w:b/>
              <w:color w:val="CD1719"/>
              <w:sz w:val="24"/>
            </w:rPr>
            <w:t xml:space="preserve"> </w:t>
          </w:r>
        </w:p>
        <w:p w14:paraId="37B597D7" w14:textId="77777777" w:rsidR="00032D94" w:rsidRDefault="00D80B6D" w:rsidP="00D80B6D">
          <w:pPr>
            <w:spacing w:before="240" w:line="288" w:lineRule="exact"/>
            <w:ind w:left="162"/>
            <w:jc w:val="center"/>
            <w:rPr>
              <w:rFonts w:ascii="Arial" w:hAnsi="Arial" w:cs="Arial"/>
              <w:color w:val="1D1D1B"/>
              <w:sz w:val="24"/>
            </w:rPr>
          </w:pPr>
          <w:r w:rsidRPr="00491445">
            <w:rPr>
              <w:rFonts w:ascii="Arial" w:hAnsi="Arial" w:cs="Arial"/>
              <w:color w:val="1D1D1B"/>
              <w:sz w:val="24"/>
            </w:rPr>
            <w:t xml:space="preserve">INDEX FINANČNÍ GRAMOTNOSTI </w:t>
          </w:r>
        </w:p>
        <w:p w14:paraId="4C8EDD49" w14:textId="77777777" w:rsidR="00D80B6D" w:rsidRPr="00491445" w:rsidRDefault="00D80B6D" w:rsidP="00D80B6D">
          <w:pPr>
            <w:spacing w:before="240" w:line="288" w:lineRule="exact"/>
            <w:ind w:left="162"/>
            <w:jc w:val="center"/>
            <w:rPr>
              <w:rFonts w:ascii="Arial" w:hAnsi="Arial" w:cs="Arial"/>
              <w:sz w:val="24"/>
            </w:rPr>
          </w:pPr>
          <w:r w:rsidRPr="00491445">
            <w:rPr>
              <w:rFonts w:ascii="Arial" w:hAnsi="Arial" w:cs="Arial"/>
              <w:color w:val="1D1D1B"/>
              <w:sz w:val="24"/>
            </w:rPr>
            <w:t>INDEX OČEKÁVANÝCH CEN PŘI PRODEJI NEMOVITOSTI</w:t>
          </w:r>
        </w:p>
        <w:p w14:paraId="1FCC0C9E" w14:textId="77777777" w:rsidR="00D80B6D" w:rsidRDefault="00D80B6D" w:rsidP="00D80B6D">
          <w:pPr>
            <w:pStyle w:val="Zkladntext"/>
            <w:spacing w:before="240"/>
            <w:rPr>
              <w:sz w:val="20"/>
            </w:rPr>
          </w:pPr>
        </w:p>
        <w:p w14:paraId="720CCDBB" w14:textId="77777777" w:rsidR="00D80B6D" w:rsidRDefault="00D80B6D" w:rsidP="00D80B6D">
          <w:pPr>
            <w:pStyle w:val="Zkladntext"/>
            <w:spacing w:before="240"/>
            <w:rPr>
              <w:sz w:val="20"/>
            </w:rPr>
          </w:pPr>
        </w:p>
        <w:p w14:paraId="703D71F2" w14:textId="77777777" w:rsidR="00D80B6D" w:rsidRDefault="00D80B6D" w:rsidP="00D80B6D">
          <w:pPr>
            <w:pStyle w:val="Zkladntext"/>
            <w:rPr>
              <w:sz w:val="20"/>
            </w:rPr>
          </w:pPr>
        </w:p>
        <w:p w14:paraId="00494A3A" w14:textId="77777777" w:rsidR="00D80B6D" w:rsidRDefault="00D80B6D" w:rsidP="00D80B6D">
          <w:pPr>
            <w:pStyle w:val="Zkladntext"/>
            <w:rPr>
              <w:sz w:val="20"/>
            </w:rPr>
          </w:pPr>
          <w:r>
            <w:rPr>
              <w:noProof/>
              <w:sz w:val="20"/>
              <w:lang w:bidi="ar-SA"/>
            </w:rPr>
            <w:drawing>
              <wp:anchor distT="0" distB="0" distL="114300" distR="114300" simplePos="0" relativeHeight="25165619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Default="00D80B6D" w:rsidP="00D80B6D">
          <w:pPr>
            <w:pStyle w:val="Zkladntext"/>
            <w:rPr>
              <w:sz w:val="20"/>
            </w:rPr>
          </w:pPr>
        </w:p>
        <w:p w14:paraId="2A5F355C" w14:textId="77777777" w:rsidR="00D80B6D" w:rsidRDefault="00D80B6D" w:rsidP="00D80B6D">
          <w:pPr>
            <w:pStyle w:val="Zkladntext"/>
            <w:rPr>
              <w:sz w:val="20"/>
            </w:rPr>
          </w:pPr>
        </w:p>
        <w:p w14:paraId="218EE6CB" w14:textId="77777777" w:rsidR="00D80B6D" w:rsidRDefault="00D80B6D" w:rsidP="00D80B6D">
          <w:pPr>
            <w:pStyle w:val="Zkladntext"/>
            <w:rPr>
              <w:sz w:val="20"/>
            </w:rPr>
          </w:pPr>
        </w:p>
        <w:p w14:paraId="0238B3AB" w14:textId="77777777" w:rsidR="00D80B6D" w:rsidRDefault="00D80B6D" w:rsidP="00D80B6D">
          <w:pPr>
            <w:pStyle w:val="Zkladntext"/>
            <w:rPr>
              <w:sz w:val="20"/>
            </w:rPr>
          </w:pPr>
        </w:p>
        <w:p w14:paraId="54516A42" w14:textId="77777777" w:rsidR="00D80B6D" w:rsidRDefault="00D80B6D" w:rsidP="00D80B6D">
          <w:pPr>
            <w:pStyle w:val="Zkladntext"/>
            <w:rPr>
              <w:sz w:val="20"/>
            </w:rPr>
          </w:pPr>
        </w:p>
        <w:p w14:paraId="5266363A" w14:textId="77777777" w:rsidR="00D80B6D" w:rsidRDefault="00D80B6D" w:rsidP="00D80B6D">
          <w:pPr>
            <w:pStyle w:val="Zkladntext"/>
            <w:rPr>
              <w:sz w:val="20"/>
            </w:rPr>
          </w:pPr>
        </w:p>
        <w:p w14:paraId="363B2E28" w14:textId="77777777" w:rsidR="00D80B6D" w:rsidRDefault="00D80B6D" w:rsidP="00D80B6D">
          <w:pPr>
            <w:pStyle w:val="Zkladntext"/>
            <w:rPr>
              <w:sz w:val="20"/>
            </w:rPr>
          </w:pPr>
        </w:p>
        <w:p w14:paraId="17667B44" w14:textId="77777777" w:rsidR="00D80B6D" w:rsidRDefault="00D80B6D" w:rsidP="00D80B6D">
          <w:pPr>
            <w:pStyle w:val="Zkladntext"/>
            <w:jc w:val="both"/>
            <w:rPr>
              <w:rFonts w:ascii="Arial" w:hAnsi="Arial" w:cs="Arial"/>
              <w:color w:val="FFFFFF" w:themeColor="background1"/>
              <w:sz w:val="20"/>
            </w:rPr>
          </w:pPr>
        </w:p>
        <w:p w14:paraId="5193A529" w14:textId="77777777" w:rsidR="00D80B6D" w:rsidRDefault="00D80B6D" w:rsidP="00D80B6D">
          <w:pPr>
            <w:pStyle w:val="Zkladntext"/>
            <w:jc w:val="both"/>
            <w:rPr>
              <w:rFonts w:ascii="Arial" w:hAnsi="Arial" w:cs="Arial"/>
              <w:b/>
              <w:sz w:val="20"/>
            </w:rPr>
          </w:pPr>
        </w:p>
        <w:p w14:paraId="2833FE59" w14:textId="77777777" w:rsidR="00D80B6D" w:rsidRDefault="00D80B6D" w:rsidP="00D80B6D">
          <w:pPr>
            <w:pStyle w:val="Zkladntext"/>
            <w:jc w:val="both"/>
            <w:rPr>
              <w:rFonts w:ascii="Arial" w:hAnsi="Arial" w:cs="Arial"/>
              <w:b/>
              <w:sz w:val="20"/>
            </w:rPr>
          </w:pPr>
        </w:p>
        <w:p w14:paraId="6DB157BF" w14:textId="77777777" w:rsidR="00D80B6D" w:rsidRDefault="00D80B6D" w:rsidP="00D80B6D">
          <w:pPr>
            <w:pStyle w:val="Zkladntext"/>
            <w:jc w:val="both"/>
            <w:rPr>
              <w:rFonts w:ascii="Arial" w:hAnsi="Arial" w:cs="Arial"/>
              <w:b/>
              <w:sz w:val="20"/>
            </w:rPr>
          </w:pPr>
        </w:p>
        <w:p w14:paraId="47803C2A" w14:textId="77777777" w:rsidR="00D80B6D" w:rsidRDefault="00D80B6D" w:rsidP="00D80B6D">
          <w:pPr>
            <w:pStyle w:val="Zkladntext"/>
            <w:jc w:val="both"/>
            <w:rPr>
              <w:rFonts w:ascii="Arial" w:hAnsi="Arial" w:cs="Arial"/>
              <w:b/>
              <w:sz w:val="20"/>
            </w:rPr>
          </w:pPr>
        </w:p>
        <w:p w14:paraId="1D90E1D0" w14:textId="77777777" w:rsidR="00D80B6D" w:rsidRDefault="00D80B6D" w:rsidP="00D80B6D">
          <w:pPr>
            <w:pStyle w:val="Zkladntext"/>
            <w:jc w:val="both"/>
            <w:rPr>
              <w:rFonts w:ascii="Arial" w:hAnsi="Arial" w:cs="Arial"/>
              <w:b/>
              <w:sz w:val="20"/>
            </w:rPr>
          </w:pPr>
        </w:p>
        <w:p w14:paraId="5A33B823" w14:textId="77777777" w:rsidR="00D80B6D" w:rsidRDefault="00D80B6D" w:rsidP="00D80B6D">
          <w:pPr>
            <w:pStyle w:val="Zkladntext"/>
            <w:jc w:val="both"/>
            <w:rPr>
              <w:rFonts w:ascii="Arial" w:hAnsi="Arial" w:cs="Arial"/>
              <w:b/>
              <w:sz w:val="20"/>
            </w:rPr>
          </w:pPr>
        </w:p>
        <w:p w14:paraId="0D2BECD0" w14:textId="77777777" w:rsidR="00D80B6D" w:rsidRDefault="00D80B6D" w:rsidP="00D80B6D">
          <w:pPr>
            <w:pStyle w:val="Zkladntext"/>
            <w:jc w:val="both"/>
            <w:rPr>
              <w:rFonts w:ascii="Arial" w:hAnsi="Arial" w:cs="Arial"/>
              <w:b/>
              <w:sz w:val="20"/>
            </w:rPr>
          </w:pPr>
        </w:p>
        <w:p w14:paraId="69288FB9" w14:textId="77777777" w:rsidR="00D80B6D" w:rsidRDefault="00D80B6D" w:rsidP="00D80B6D">
          <w:pPr>
            <w:pStyle w:val="Zkladntext"/>
            <w:jc w:val="both"/>
            <w:rPr>
              <w:rFonts w:ascii="Arial" w:hAnsi="Arial" w:cs="Arial"/>
              <w:b/>
              <w:sz w:val="20"/>
            </w:rPr>
          </w:pPr>
        </w:p>
        <w:p w14:paraId="541E93D5" w14:textId="77777777" w:rsidR="00D80B6D" w:rsidRDefault="00D80B6D" w:rsidP="00D80B6D">
          <w:pPr>
            <w:pStyle w:val="Zkladntext"/>
            <w:jc w:val="both"/>
            <w:rPr>
              <w:rFonts w:ascii="Arial" w:hAnsi="Arial" w:cs="Arial"/>
              <w:b/>
              <w:sz w:val="20"/>
            </w:rPr>
          </w:pPr>
        </w:p>
        <w:p w14:paraId="341A343C" w14:textId="77777777" w:rsidR="00D80B6D" w:rsidRDefault="00D80B6D" w:rsidP="00D80B6D">
          <w:pPr>
            <w:pStyle w:val="Zkladntext"/>
            <w:jc w:val="both"/>
            <w:rPr>
              <w:rFonts w:ascii="Arial" w:hAnsi="Arial" w:cs="Arial"/>
              <w:b/>
              <w:sz w:val="20"/>
            </w:rPr>
          </w:pPr>
        </w:p>
        <w:p w14:paraId="6C52C42D" w14:textId="77777777" w:rsidR="00D80B6D" w:rsidRDefault="00D80B6D" w:rsidP="00D80B6D">
          <w:pPr>
            <w:pStyle w:val="Zkladntext"/>
            <w:jc w:val="both"/>
            <w:rPr>
              <w:rFonts w:ascii="Arial" w:hAnsi="Arial" w:cs="Arial"/>
              <w:b/>
              <w:sz w:val="20"/>
            </w:rPr>
          </w:pPr>
        </w:p>
        <w:p w14:paraId="3E3CDF25" w14:textId="77777777" w:rsidR="00D80B6D" w:rsidRDefault="00D80B6D" w:rsidP="00D80B6D">
          <w:pPr>
            <w:pStyle w:val="Zkladntext"/>
            <w:jc w:val="both"/>
            <w:rPr>
              <w:rFonts w:ascii="Arial" w:hAnsi="Arial" w:cs="Arial"/>
              <w:b/>
              <w:sz w:val="20"/>
            </w:rPr>
          </w:pPr>
        </w:p>
        <w:p w14:paraId="40495E64" w14:textId="77777777" w:rsidR="00D80B6D" w:rsidRDefault="00D80B6D" w:rsidP="00D80B6D">
          <w:pPr>
            <w:pStyle w:val="Zkladntext"/>
            <w:jc w:val="both"/>
            <w:rPr>
              <w:rFonts w:ascii="Arial" w:hAnsi="Arial" w:cs="Arial"/>
              <w:b/>
              <w:sz w:val="20"/>
            </w:rPr>
          </w:pPr>
        </w:p>
        <w:p w14:paraId="59B6F4E6" w14:textId="77777777" w:rsidR="00D80B6D" w:rsidRDefault="00D80B6D" w:rsidP="00D80B6D">
          <w:pPr>
            <w:pStyle w:val="Zkladntext"/>
            <w:jc w:val="both"/>
            <w:rPr>
              <w:rFonts w:ascii="Arial" w:hAnsi="Arial" w:cs="Arial"/>
              <w:b/>
              <w:sz w:val="20"/>
            </w:rPr>
          </w:pPr>
        </w:p>
        <w:p w14:paraId="5ADDFBD6" w14:textId="77777777" w:rsidR="00D80B6D" w:rsidRDefault="00D80B6D" w:rsidP="00D80B6D">
          <w:pPr>
            <w:pStyle w:val="Zkladntext"/>
            <w:jc w:val="both"/>
            <w:rPr>
              <w:rFonts w:ascii="Arial" w:hAnsi="Arial" w:cs="Arial"/>
              <w:b/>
              <w:sz w:val="20"/>
            </w:rPr>
          </w:pPr>
        </w:p>
        <w:p w14:paraId="1CB27DF8" w14:textId="77777777" w:rsidR="007B358E" w:rsidRDefault="007B358E" w:rsidP="00D80B6D">
          <w:pPr>
            <w:pStyle w:val="Zkladntext"/>
            <w:jc w:val="both"/>
            <w:rPr>
              <w:rFonts w:ascii="Arial" w:hAnsi="Arial" w:cs="Arial"/>
              <w:b/>
              <w:sz w:val="20"/>
            </w:rPr>
          </w:pPr>
        </w:p>
        <w:p w14:paraId="11132A3F" w14:textId="0124A834"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7485CC6" w14:textId="77777777" w:rsidR="00D80B6D" w:rsidRDefault="00D80B6D" w:rsidP="00D80B6D">
          <w:pPr>
            <w:jc w:val="both"/>
            <w:rPr>
              <w:rFonts w:ascii="Arial" w:hAnsi="Arial" w:cs="Arial"/>
              <w:sz w:val="20"/>
            </w:rPr>
          </w:pPr>
        </w:p>
        <w:p w14:paraId="1E1BE003" w14:textId="11362B1F" w:rsidR="00D80B6D" w:rsidRDefault="00D80B6D" w:rsidP="00D80B6D">
          <w:pPr>
            <w:jc w:val="both"/>
            <w:rPr>
              <w:rStyle w:val="dn"/>
              <w:rFonts w:ascii="Arial" w:hAnsi="Arial" w:cs="Arial"/>
              <w:sz w:val="18"/>
              <w:szCs w:val="18"/>
            </w:rPr>
          </w:pPr>
          <w:r w:rsidRPr="006E3520">
            <w:rPr>
              <w:rFonts w:ascii="Arial" w:hAnsi="Arial" w:cs="Arial"/>
              <w:sz w:val="20"/>
            </w:rPr>
            <w:t>Broker Consulting je jednou z největších poradenských společností na českém a slovenském trhu v oblasti financí a realit. Od roku 1998 získala důvěru více než 6</w:t>
          </w:r>
          <w:r w:rsidR="00A069E2">
            <w:rPr>
              <w:rFonts w:ascii="Arial" w:hAnsi="Arial" w:cs="Arial"/>
              <w:sz w:val="20"/>
            </w:rPr>
            <w:t>00</w:t>
          </w:r>
          <w:r w:rsidRPr="006E3520">
            <w:rPr>
              <w:rFonts w:ascii="Arial" w:hAnsi="Arial" w:cs="Arial"/>
              <w:sz w:val="20"/>
            </w:rPr>
            <w:t xml:space="preserve"> 000 klientů. Poskytuje také služby přes 4 000 firmám. Služby společnosti Broker Consulting poskytuje přibližně 1 500 finančních konzultantů ve více než 100 klientských centrech a kancelářích. Společnost přinesla na český a slovenský trh řadu inovací. Jednalo se například o investice do otevřených podílových fondů se zamykáním zisků nebo unikátní produkty  životního dopojištění, které umožňují pojistit smrt a invaliditu za zlomek obvyklých cen. Broker Consulting rovněž ve spolupráci s </w:t>
          </w:r>
          <w:proofErr w:type="spellStart"/>
          <w:r w:rsidRPr="006E3520">
            <w:rPr>
              <w:rFonts w:ascii="Arial" w:hAnsi="Arial" w:cs="Arial"/>
              <w:sz w:val="20"/>
            </w:rPr>
            <w:t>mBank</w:t>
          </w:r>
          <w:proofErr w:type="spellEnd"/>
          <w:r w:rsidRPr="006E3520">
            <w:rPr>
              <w:rFonts w:ascii="Arial" w:hAnsi="Arial" w:cs="Arial"/>
              <w:sz w:val="20"/>
            </w:rPr>
            <w:t xml:space="preserve"> vytváří síť franšízových poboček pod názvem OK POINT, kterých je aktuálně otevřeno 44.  Více na www.bcas.cz a na www.okpointy.cz. Navštivte také náš Facebook a LinkedIN Broker Consulting a</w:t>
          </w:r>
          <w:r w:rsidR="007B358E">
            <w:rPr>
              <w:rFonts w:ascii="Arial" w:hAnsi="Arial" w:cs="Arial"/>
              <w:sz w:val="20"/>
            </w:rPr>
            <w:t xml:space="preserve"> Facebook a </w:t>
          </w:r>
          <w:proofErr w:type="spellStart"/>
          <w:r w:rsidR="007B358E">
            <w:rPr>
              <w:rFonts w:ascii="Arial" w:hAnsi="Arial" w:cs="Arial"/>
              <w:sz w:val="20"/>
            </w:rPr>
            <w:t>LinkedIn</w:t>
          </w:r>
          <w:proofErr w:type="spellEnd"/>
          <w:r w:rsidR="007B358E">
            <w:rPr>
              <w:rFonts w:ascii="Arial" w:hAnsi="Arial" w:cs="Arial"/>
              <w:sz w:val="20"/>
            </w:rPr>
            <w:t xml:space="preserve"> OK </w:t>
          </w:r>
          <w:proofErr w:type="spellStart"/>
          <w:r w:rsidR="007B358E">
            <w:rPr>
              <w:rFonts w:ascii="Arial" w:hAnsi="Arial" w:cs="Arial"/>
              <w:sz w:val="20"/>
            </w:rPr>
            <w:t>POINTů</w:t>
          </w:r>
          <w:proofErr w:type="spellEnd"/>
          <w:r w:rsidR="007B358E">
            <w:rPr>
              <w:rFonts w:ascii="Arial" w:hAnsi="Arial" w:cs="Arial"/>
              <w:sz w:val="20"/>
            </w:rPr>
            <w:t xml:space="preserve">. </w:t>
          </w:r>
          <w:proofErr w:type="spellStart"/>
          <w:r w:rsidRPr="006E3520">
            <w:rPr>
              <w:rStyle w:val="dn"/>
              <w:rFonts w:ascii="Arial" w:hAnsi="Arial" w:cs="Arial"/>
              <w:sz w:val="20"/>
              <w:szCs w:val="18"/>
            </w:rPr>
            <w:t>Více</w:t>
          </w:r>
          <w:proofErr w:type="spellEnd"/>
          <w:r w:rsidRPr="006E3520">
            <w:rPr>
              <w:rStyle w:val="dn"/>
              <w:rFonts w:ascii="Arial" w:hAnsi="Arial" w:cs="Arial"/>
              <w:sz w:val="20"/>
              <w:szCs w:val="18"/>
            </w:rPr>
            <w:t xml:space="preserve"> na </w:t>
          </w:r>
          <w:hyperlink r:id="rId9" w:history="1">
            <w:r w:rsidRPr="006E3520">
              <w:rPr>
                <w:rStyle w:val="Hypertextovodkaz"/>
                <w:rFonts w:ascii="Arial" w:hAnsi="Arial" w:cs="Arial"/>
                <w:sz w:val="20"/>
                <w:szCs w:val="18"/>
              </w:rPr>
              <w:t>www.bcas.cz</w:t>
            </w:r>
          </w:hyperlink>
          <w:r w:rsidRPr="006E3520">
            <w:rPr>
              <w:rStyle w:val="dn"/>
              <w:rFonts w:ascii="Arial" w:hAnsi="Arial" w:cs="Arial"/>
              <w:sz w:val="20"/>
              <w:szCs w:val="18"/>
            </w:rPr>
            <w:t xml:space="preserve"> a na </w:t>
          </w:r>
          <w:hyperlink r:id="rId10" w:history="1">
            <w:r w:rsidRPr="006E3520">
              <w:rPr>
                <w:rStyle w:val="Hypertextovodkaz"/>
                <w:rFonts w:ascii="Arial" w:hAnsi="Arial" w:cs="Arial"/>
                <w:sz w:val="20"/>
                <w:szCs w:val="18"/>
              </w:rPr>
              <w:t>www.okpointy.cz</w:t>
            </w:r>
          </w:hyperlink>
          <w:r w:rsidRPr="006E3520">
            <w:rPr>
              <w:rStyle w:val="dn"/>
              <w:rFonts w:ascii="Arial" w:hAnsi="Arial" w:cs="Arial"/>
              <w:sz w:val="20"/>
              <w:szCs w:val="18"/>
            </w:rPr>
            <w:t xml:space="preserve">. </w:t>
          </w:r>
          <w:proofErr w:type="spellStart"/>
          <w:r w:rsidRPr="006E3520">
            <w:rPr>
              <w:rStyle w:val="dn"/>
              <w:rFonts w:ascii="Arial" w:hAnsi="Arial" w:cs="Arial"/>
              <w:sz w:val="20"/>
              <w:szCs w:val="18"/>
            </w:rPr>
            <w:t>Navštivte</w:t>
          </w:r>
          <w:proofErr w:type="spellEnd"/>
          <w:r w:rsidRPr="006E3520">
            <w:rPr>
              <w:rStyle w:val="dn"/>
              <w:rFonts w:ascii="Arial" w:hAnsi="Arial" w:cs="Arial"/>
              <w:sz w:val="20"/>
              <w:szCs w:val="18"/>
            </w:rPr>
            <w:t xml:space="preserve"> </w:t>
          </w:r>
          <w:proofErr w:type="spellStart"/>
          <w:r w:rsidRPr="006E3520">
            <w:rPr>
              <w:rStyle w:val="dn"/>
              <w:rFonts w:ascii="Arial" w:hAnsi="Arial" w:cs="Arial"/>
              <w:sz w:val="20"/>
              <w:szCs w:val="18"/>
            </w:rPr>
            <w:t>také</w:t>
          </w:r>
          <w:proofErr w:type="spellEnd"/>
          <w:r w:rsidRPr="006E3520">
            <w:rPr>
              <w:rStyle w:val="dn"/>
              <w:rFonts w:ascii="Arial" w:hAnsi="Arial" w:cs="Arial"/>
              <w:sz w:val="20"/>
              <w:szCs w:val="18"/>
            </w:rPr>
            <w:t xml:space="preserve"> </w:t>
          </w:r>
          <w:proofErr w:type="spellStart"/>
          <w:r w:rsidRPr="006E3520">
            <w:rPr>
              <w:rStyle w:val="dn"/>
              <w:rFonts w:ascii="Arial" w:hAnsi="Arial" w:cs="Arial"/>
              <w:sz w:val="20"/>
              <w:szCs w:val="18"/>
            </w:rPr>
            <w:t>náš</w:t>
          </w:r>
          <w:proofErr w:type="spellEnd"/>
          <w:r w:rsidRPr="006E3520">
            <w:rPr>
              <w:rStyle w:val="dn"/>
              <w:rFonts w:ascii="Arial" w:hAnsi="Arial" w:cs="Arial"/>
              <w:sz w:val="20"/>
              <w:szCs w:val="18"/>
            </w:rPr>
            <w:t xml:space="preserve"> </w:t>
          </w:r>
          <w:hyperlink r:id="rId11" w:history="1">
            <w:r w:rsidRPr="006E3520">
              <w:rPr>
                <w:rStyle w:val="Hypertextovodkaz"/>
                <w:rFonts w:ascii="Arial" w:hAnsi="Arial" w:cs="Arial"/>
                <w:sz w:val="20"/>
                <w:szCs w:val="18"/>
              </w:rPr>
              <w:t>Facebook</w:t>
            </w:r>
          </w:hyperlink>
          <w:r w:rsidRPr="006E3520">
            <w:rPr>
              <w:rStyle w:val="dn"/>
              <w:rFonts w:ascii="Arial" w:hAnsi="Arial" w:cs="Arial"/>
              <w:sz w:val="20"/>
              <w:szCs w:val="18"/>
            </w:rPr>
            <w:t xml:space="preserve"> a </w:t>
          </w:r>
          <w:hyperlink r:id="rId12" w:history="1">
            <w:r w:rsidRPr="006E3520">
              <w:rPr>
                <w:rStyle w:val="Hypertextovodkaz"/>
                <w:rFonts w:ascii="Arial" w:hAnsi="Arial" w:cs="Arial"/>
                <w:sz w:val="20"/>
                <w:szCs w:val="18"/>
              </w:rPr>
              <w:t>LinkedIN</w:t>
            </w:r>
          </w:hyperlink>
          <w:r w:rsidRPr="006E3520">
            <w:rPr>
              <w:rStyle w:val="dn"/>
              <w:rFonts w:ascii="Arial" w:hAnsi="Arial" w:cs="Arial"/>
              <w:sz w:val="20"/>
              <w:szCs w:val="18"/>
            </w:rPr>
            <w:t xml:space="preserve"> Broker Consulting a </w:t>
          </w:r>
          <w:hyperlink r:id="rId13" w:history="1">
            <w:r w:rsidRPr="006E3520">
              <w:rPr>
                <w:rStyle w:val="Hypertextovodkaz"/>
                <w:rFonts w:ascii="Arial" w:hAnsi="Arial" w:cs="Arial"/>
                <w:sz w:val="20"/>
                <w:szCs w:val="18"/>
              </w:rPr>
              <w:t>Facebook</w:t>
            </w:r>
          </w:hyperlink>
          <w:r w:rsidRPr="006E3520">
            <w:rPr>
              <w:rStyle w:val="dn"/>
              <w:rFonts w:ascii="Arial" w:hAnsi="Arial" w:cs="Arial"/>
              <w:sz w:val="20"/>
              <w:szCs w:val="18"/>
            </w:rPr>
            <w:t xml:space="preserve"> a </w:t>
          </w:r>
          <w:hyperlink r:id="rId14" w:history="1">
            <w:proofErr w:type="spellStart"/>
            <w:r w:rsidRPr="006E3520">
              <w:rPr>
                <w:rStyle w:val="Hypertextovodkaz"/>
                <w:rFonts w:ascii="Arial" w:hAnsi="Arial" w:cs="Arial"/>
                <w:sz w:val="20"/>
                <w:szCs w:val="18"/>
              </w:rPr>
              <w:t>LinkedIn</w:t>
            </w:r>
            <w:proofErr w:type="spellEnd"/>
          </w:hyperlink>
          <w:r w:rsidRPr="006E3520">
            <w:rPr>
              <w:rStyle w:val="dn"/>
              <w:rFonts w:ascii="Arial" w:hAnsi="Arial" w:cs="Arial"/>
              <w:sz w:val="20"/>
              <w:szCs w:val="18"/>
            </w:rPr>
            <w:t xml:space="preserve"> OK </w:t>
          </w:r>
          <w:proofErr w:type="spellStart"/>
          <w:r w:rsidRPr="006E3520">
            <w:rPr>
              <w:rStyle w:val="dn"/>
              <w:rFonts w:ascii="Arial" w:hAnsi="Arial" w:cs="Arial"/>
              <w:sz w:val="20"/>
              <w:szCs w:val="18"/>
            </w:rPr>
            <w:t>POINTů</w:t>
          </w:r>
          <w:proofErr w:type="spellEnd"/>
          <w:r w:rsidRPr="006E3520">
            <w:rPr>
              <w:rStyle w:val="dn"/>
              <w:rFonts w:ascii="Arial" w:hAnsi="Arial" w:cs="Arial"/>
              <w:sz w:val="20"/>
              <w:szCs w:val="18"/>
            </w:rPr>
            <w:t xml:space="preserve">. </w:t>
          </w:r>
        </w:p>
        <w:p w14:paraId="2E6DA2E4" w14:textId="77777777" w:rsidR="00D80B6D" w:rsidRPr="006E3520" w:rsidRDefault="00D80B6D" w:rsidP="00D80B6D">
          <w:pPr>
            <w:pStyle w:val="Zkladntext"/>
            <w:jc w:val="both"/>
            <w:rPr>
              <w:rFonts w:ascii="Arial" w:hAnsi="Arial" w:cs="Arial"/>
              <w:sz w:val="20"/>
            </w:rPr>
          </w:pPr>
          <w:r w:rsidRPr="006E3520">
            <w:rPr>
              <w:rFonts w:ascii="Arial" w:hAnsi="Arial" w:cs="Arial"/>
              <w:sz w:val="20"/>
            </w:rPr>
            <w:t xml:space="preserve"> </w:t>
          </w:r>
        </w:p>
        <w:p w14:paraId="3F0EC976" w14:textId="77777777" w:rsidR="00D80B6D" w:rsidRDefault="00D80B6D" w:rsidP="00D80B6D">
          <w:pPr>
            <w:rPr>
              <w:rFonts w:ascii="F015TEE"/>
            </w:rPr>
            <w:sectPr w:rsidR="00D80B6D" w:rsidSect="00D80B6D">
              <w:headerReference w:type="default" r:id="rId15"/>
              <w:footerReference w:type="default" r:id="rId16"/>
              <w:pgSz w:w="11910" w:h="16840"/>
              <w:pgMar w:top="960" w:right="740" w:bottom="0" w:left="720" w:header="708" w:footer="708" w:gutter="0"/>
              <w:cols w:space="708"/>
            </w:sectPr>
          </w:pPr>
        </w:p>
        <w:p w14:paraId="35539C65" w14:textId="490E6492" w:rsidR="00D31127" w:rsidRPr="00D80B6D" w:rsidRDefault="0013585B" w:rsidP="0025264B">
          <w:pPr>
            <w:rPr>
              <w:rFonts w:ascii="Arial" w:hAnsi="Arial" w:cs="Arial"/>
              <w:b/>
              <w:sz w:val="20"/>
              <w:szCs w:val="20"/>
            </w:rPr>
            <w:sectPr w:rsidR="00D31127" w:rsidRPr="00D80B6D" w:rsidSect="00D80B6D">
              <w:headerReference w:type="even" r:id="rId17"/>
              <w:headerReference w:type="default" r:id="rId18"/>
              <w:footerReference w:type="even" r:id="rId19"/>
              <w:footerReference w:type="default" r:id="rId20"/>
              <w:headerReference w:type="first" r:id="rId21"/>
              <w:footerReference w:type="first" r:id="rId22"/>
              <w:pgSz w:w="11910" w:h="16840"/>
              <w:pgMar w:top="1418" w:right="740" w:bottom="420" w:left="720" w:header="340" w:footer="223" w:gutter="0"/>
              <w:pgNumType w:start="0"/>
              <w:cols w:space="708"/>
              <w:titlePg/>
              <w:docGrid w:linePitch="299"/>
            </w:sectPr>
          </w:pPr>
        </w:p>
      </w:sdtContent>
    </w:sdt>
    <w:p w14:paraId="63A39113" w14:textId="19CA6A68" w:rsidR="00270DB3" w:rsidRDefault="00B43ABC" w:rsidP="0025264B">
      <w:pPr>
        <w:rPr>
          <w:rFonts w:ascii="Arial" w:hAnsi="Arial" w:cs="Arial"/>
          <w:b/>
          <w:sz w:val="20"/>
          <w:szCs w:val="20"/>
        </w:rPr>
      </w:pPr>
      <w:r>
        <w:rPr>
          <w:rFonts w:ascii="Arial" w:hAnsi="Arial" w:cs="Arial"/>
          <w:b/>
          <w:sz w:val="20"/>
          <w:szCs w:val="20"/>
        </w:rPr>
        <w:t>Průměrné spotřebitelské úvěry v listopadu za 6,46 % hlásí Broker Consulting Index spotřebitelských úvěrů</w:t>
      </w:r>
    </w:p>
    <w:p w14:paraId="1501838F" w14:textId="77777777" w:rsidR="00270DB3" w:rsidRDefault="00270DB3" w:rsidP="0025264B">
      <w:pPr>
        <w:rPr>
          <w:rFonts w:ascii="Arial" w:hAnsi="Arial" w:cs="Arial"/>
          <w:b/>
          <w:sz w:val="20"/>
          <w:szCs w:val="20"/>
        </w:rPr>
      </w:pPr>
    </w:p>
    <w:p w14:paraId="7620CFE0" w14:textId="58AB3B80" w:rsidR="00B65A3B" w:rsidRPr="00270DB3" w:rsidRDefault="0025264B" w:rsidP="0025264B">
      <w:pPr>
        <w:rPr>
          <w:rFonts w:ascii="Arial" w:hAnsi="Arial" w:cs="Arial"/>
          <w:b/>
          <w:sz w:val="20"/>
          <w:szCs w:val="20"/>
        </w:rPr>
      </w:pPr>
      <w:r w:rsidRPr="00270DB3">
        <w:rPr>
          <w:rFonts w:ascii="Arial" w:hAnsi="Arial" w:cs="Arial"/>
          <w:b/>
          <w:sz w:val="20"/>
          <w:szCs w:val="20"/>
        </w:rPr>
        <w:t>Průměrná sazba spotřebitelských úvěrů v</w:t>
      </w:r>
      <w:r w:rsidR="000374D7">
        <w:rPr>
          <w:rFonts w:ascii="Arial" w:hAnsi="Arial" w:cs="Arial"/>
          <w:b/>
          <w:sz w:val="20"/>
          <w:szCs w:val="20"/>
        </w:rPr>
        <w:t> </w:t>
      </w:r>
      <w:r w:rsidR="000611E3">
        <w:rPr>
          <w:rFonts w:ascii="Arial" w:hAnsi="Arial" w:cs="Arial"/>
          <w:b/>
          <w:sz w:val="20"/>
          <w:szCs w:val="20"/>
        </w:rPr>
        <w:t>listopadu</w:t>
      </w:r>
      <w:r w:rsidR="000374D7">
        <w:rPr>
          <w:rFonts w:ascii="Arial" w:hAnsi="Arial" w:cs="Arial"/>
          <w:b/>
          <w:sz w:val="20"/>
          <w:szCs w:val="20"/>
        </w:rPr>
        <w:t xml:space="preserve"> 2019</w:t>
      </w:r>
      <w:r w:rsidRPr="00270DB3">
        <w:rPr>
          <w:rFonts w:ascii="Arial" w:hAnsi="Arial" w:cs="Arial"/>
          <w:b/>
          <w:sz w:val="20"/>
          <w:szCs w:val="20"/>
        </w:rPr>
        <w:t xml:space="preserve"> dosáhla hranice </w:t>
      </w:r>
      <w:r w:rsidR="000E3D86">
        <w:rPr>
          <w:rFonts w:ascii="Arial" w:hAnsi="Arial" w:cs="Arial"/>
          <w:b/>
          <w:sz w:val="20"/>
          <w:szCs w:val="20"/>
        </w:rPr>
        <w:t>6,</w:t>
      </w:r>
      <w:r w:rsidR="000611E3">
        <w:rPr>
          <w:rFonts w:ascii="Arial" w:hAnsi="Arial" w:cs="Arial"/>
          <w:b/>
          <w:sz w:val="20"/>
          <w:szCs w:val="20"/>
        </w:rPr>
        <w:t>46</w:t>
      </w:r>
      <w:r w:rsidR="0009776B">
        <w:rPr>
          <w:rFonts w:ascii="Arial" w:hAnsi="Arial" w:cs="Arial"/>
          <w:b/>
          <w:sz w:val="20"/>
          <w:szCs w:val="20"/>
        </w:rPr>
        <w:t xml:space="preserve"> </w:t>
      </w:r>
      <w:r w:rsidRPr="00270DB3">
        <w:rPr>
          <w:rFonts w:ascii="Arial" w:hAnsi="Arial" w:cs="Arial"/>
          <w:b/>
          <w:sz w:val="20"/>
          <w:szCs w:val="20"/>
        </w:rPr>
        <w:t>%</w:t>
      </w:r>
      <w:r w:rsidR="00270DB3" w:rsidRPr="00270DB3">
        <w:rPr>
          <w:rFonts w:ascii="Arial" w:hAnsi="Arial" w:cs="Arial"/>
          <w:b/>
          <w:sz w:val="20"/>
          <w:szCs w:val="20"/>
        </w:rPr>
        <w:t>,</w:t>
      </w:r>
      <w:r w:rsidRPr="00270DB3">
        <w:rPr>
          <w:rFonts w:ascii="Arial" w:hAnsi="Arial" w:cs="Arial"/>
          <w:b/>
          <w:sz w:val="20"/>
          <w:szCs w:val="20"/>
        </w:rPr>
        <w:t xml:space="preserve"> p. a., meziročně tak klesla o</w:t>
      </w:r>
      <w:r w:rsidR="007E546A">
        <w:rPr>
          <w:rFonts w:ascii="Arial" w:hAnsi="Arial" w:cs="Arial"/>
          <w:b/>
          <w:sz w:val="20"/>
          <w:szCs w:val="20"/>
        </w:rPr>
        <w:t> </w:t>
      </w:r>
      <w:r w:rsidR="00F5470D">
        <w:rPr>
          <w:rFonts w:ascii="Arial" w:hAnsi="Arial" w:cs="Arial"/>
          <w:b/>
          <w:sz w:val="20"/>
          <w:szCs w:val="20"/>
        </w:rPr>
        <w:t>0,</w:t>
      </w:r>
      <w:r w:rsidR="000611E3">
        <w:rPr>
          <w:rFonts w:ascii="Arial" w:hAnsi="Arial" w:cs="Arial"/>
          <w:b/>
          <w:sz w:val="20"/>
          <w:szCs w:val="20"/>
        </w:rPr>
        <w:t xml:space="preserve">26 </w:t>
      </w:r>
      <w:r w:rsidRPr="00270DB3">
        <w:rPr>
          <w:rFonts w:ascii="Arial" w:hAnsi="Arial" w:cs="Arial"/>
          <w:b/>
          <w:sz w:val="20"/>
          <w:szCs w:val="20"/>
        </w:rPr>
        <w:t xml:space="preserve">procentního bodu. </w:t>
      </w:r>
      <w:r w:rsidR="000611E3">
        <w:rPr>
          <w:rFonts w:ascii="Arial" w:hAnsi="Arial" w:cs="Arial"/>
          <w:b/>
          <w:sz w:val="20"/>
          <w:szCs w:val="20"/>
        </w:rPr>
        <w:t>Pokles je patrný i vůči minulému měsíci, a to 0,14 procentního bodu</w:t>
      </w:r>
      <w:r w:rsidR="00FC5B56">
        <w:rPr>
          <w:rFonts w:ascii="Arial" w:hAnsi="Arial" w:cs="Arial"/>
          <w:b/>
          <w:sz w:val="20"/>
          <w:szCs w:val="20"/>
        </w:rPr>
        <w:t xml:space="preserve">. </w:t>
      </w:r>
      <w:r w:rsidRPr="00270DB3">
        <w:rPr>
          <w:rFonts w:ascii="Arial" w:hAnsi="Arial" w:cs="Arial"/>
          <w:b/>
          <w:sz w:val="20"/>
          <w:szCs w:val="20"/>
        </w:rPr>
        <w:t xml:space="preserve">Vyplývá to z dat Broker Consulting Indexu spotřebitelských úvěrů za </w:t>
      </w:r>
      <w:r w:rsidR="000611E3">
        <w:rPr>
          <w:rFonts w:ascii="Arial" w:hAnsi="Arial" w:cs="Arial"/>
          <w:b/>
          <w:sz w:val="20"/>
          <w:szCs w:val="20"/>
        </w:rPr>
        <w:t>listopadu</w:t>
      </w:r>
      <w:r w:rsidRPr="00270DB3">
        <w:rPr>
          <w:rFonts w:ascii="Arial" w:hAnsi="Arial" w:cs="Arial"/>
          <w:b/>
          <w:sz w:val="20"/>
          <w:szCs w:val="20"/>
        </w:rPr>
        <w:t xml:space="preserve"> 2019. </w:t>
      </w:r>
    </w:p>
    <w:p w14:paraId="63D3B6CA" w14:textId="77777777" w:rsidR="0025264B" w:rsidRPr="0025264B" w:rsidRDefault="0025264B" w:rsidP="0025264B">
      <w:pPr>
        <w:rPr>
          <w:rFonts w:ascii="Arial" w:hAnsi="Arial" w:cs="Arial"/>
          <w:sz w:val="20"/>
          <w:szCs w:val="20"/>
        </w:rPr>
      </w:pPr>
    </w:p>
    <w:p w14:paraId="28B2ABD5" w14:textId="3C1690AA" w:rsidR="0083053E" w:rsidRDefault="006A3BE2" w:rsidP="000E3D86">
      <w:pPr>
        <w:rPr>
          <w:rFonts w:ascii="Arial" w:hAnsi="Arial" w:cs="Arial"/>
          <w:sz w:val="20"/>
          <w:szCs w:val="20"/>
        </w:rPr>
      </w:pPr>
      <w:r w:rsidRPr="00F5470D">
        <w:rPr>
          <w:rFonts w:ascii="Arial" w:hAnsi="Arial" w:cs="Arial"/>
          <w:sz w:val="20"/>
          <w:szCs w:val="20"/>
        </w:rPr>
        <w:t>„</w:t>
      </w:r>
      <w:r w:rsidR="0083053E">
        <w:rPr>
          <w:rFonts w:ascii="Arial" w:hAnsi="Arial" w:cs="Arial"/>
          <w:sz w:val="20"/>
          <w:szCs w:val="20"/>
        </w:rPr>
        <w:t>Z</w:t>
      </w:r>
      <w:r w:rsidR="00845A34">
        <w:rPr>
          <w:rFonts w:ascii="Arial" w:hAnsi="Arial" w:cs="Arial"/>
          <w:sz w:val="20"/>
          <w:szCs w:val="20"/>
        </w:rPr>
        <w:t>měna není nijak dramatická, ale z televize, rádia a internetu je jasně zřejmé, že úvěrové společnosti zahájil</w:t>
      </w:r>
      <w:r w:rsidR="003A4014">
        <w:rPr>
          <w:rFonts w:ascii="Arial" w:hAnsi="Arial" w:cs="Arial"/>
          <w:sz w:val="20"/>
          <w:szCs w:val="20"/>
        </w:rPr>
        <w:t>y</w:t>
      </w:r>
      <w:r w:rsidR="00845A34">
        <w:rPr>
          <w:rFonts w:ascii="Arial" w:hAnsi="Arial" w:cs="Arial"/>
          <w:sz w:val="20"/>
          <w:szCs w:val="20"/>
        </w:rPr>
        <w:t xml:space="preserve"> masivní kampaně na podporu prodeje půjček v předvánočním období</w:t>
      </w:r>
      <w:r w:rsidR="003A4014">
        <w:rPr>
          <w:rFonts w:ascii="Arial" w:hAnsi="Arial" w:cs="Arial"/>
          <w:sz w:val="20"/>
          <w:szCs w:val="20"/>
        </w:rPr>
        <w:t>.</w:t>
      </w:r>
      <w:r w:rsidR="00CC1067" w:rsidRPr="00CC1067">
        <w:rPr>
          <w:rFonts w:ascii="Arial" w:hAnsi="Arial" w:cs="Arial"/>
          <w:sz w:val="20"/>
          <w:szCs w:val="20"/>
        </w:rPr>
        <w:t xml:space="preserve"> </w:t>
      </w:r>
      <w:r w:rsidR="003A4014">
        <w:rPr>
          <w:rFonts w:ascii="Arial" w:hAnsi="Arial" w:cs="Arial"/>
          <w:sz w:val="20"/>
          <w:szCs w:val="20"/>
        </w:rPr>
        <w:t>P</w:t>
      </w:r>
      <w:r w:rsidR="00CC1067" w:rsidRPr="00CC1067">
        <w:rPr>
          <w:rFonts w:ascii="Arial" w:hAnsi="Arial" w:cs="Arial"/>
          <w:sz w:val="20"/>
          <w:szCs w:val="20"/>
        </w:rPr>
        <w:t>řesto</w:t>
      </w:r>
      <w:r w:rsidR="003A4014">
        <w:rPr>
          <w:rFonts w:ascii="Arial" w:hAnsi="Arial" w:cs="Arial"/>
          <w:sz w:val="20"/>
          <w:szCs w:val="20"/>
        </w:rPr>
        <w:t xml:space="preserve"> </w:t>
      </w:r>
      <w:r w:rsidR="00845A34">
        <w:rPr>
          <w:rFonts w:ascii="Arial" w:hAnsi="Arial" w:cs="Arial"/>
          <w:sz w:val="20"/>
          <w:szCs w:val="20"/>
        </w:rPr>
        <w:t xml:space="preserve">by se </w:t>
      </w:r>
      <w:r w:rsidR="00CC1067">
        <w:rPr>
          <w:rFonts w:ascii="Arial" w:hAnsi="Arial" w:cs="Arial"/>
          <w:sz w:val="20"/>
          <w:szCs w:val="20"/>
        </w:rPr>
        <w:t xml:space="preserve">všichni zájemci měli mít na pozoru. </w:t>
      </w:r>
      <w:r w:rsidR="00E00DC6">
        <w:rPr>
          <w:rFonts w:ascii="Arial" w:hAnsi="Arial" w:cs="Arial"/>
          <w:sz w:val="20"/>
          <w:szCs w:val="20"/>
        </w:rPr>
        <w:t>Nabídky „K</w:t>
      </w:r>
      <w:r w:rsidR="006F32FB">
        <w:rPr>
          <w:rFonts w:ascii="Arial" w:hAnsi="Arial" w:cs="Arial"/>
          <w:sz w:val="20"/>
          <w:szCs w:val="20"/>
        </w:rPr>
        <w:t>upte teď, plaťte v</w:t>
      </w:r>
      <w:r w:rsidR="00E00DC6">
        <w:rPr>
          <w:rFonts w:ascii="Arial" w:hAnsi="Arial" w:cs="Arial"/>
          <w:sz w:val="20"/>
          <w:szCs w:val="20"/>
        </w:rPr>
        <w:t> </w:t>
      </w:r>
      <w:r w:rsidR="006F32FB">
        <w:rPr>
          <w:rFonts w:ascii="Arial" w:hAnsi="Arial" w:cs="Arial"/>
          <w:sz w:val="20"/>
          <w:szCs w:val="20"/>
        </w:rPr>
        <w:t>lednu</w:t>
      </w:r>
      <w:r w:rsidR="00E00DC6">
        <w:rPr>
          <w:rFonts w:ascii="Arial" w:hAnsi="Arial" w:cs="Arial"/>
          <w:sz w:val="20"/>
          <w:szCs w:val="20"/>
        </w:rPr>
        <w:t>!“</w:t>
      </w:r>
      <w:r w:rsidR="006F32FB">
        <w:rPr>
          <w:rFonts w:ascii="Arial" w:hAnsi="Arial" w:cs="Arial"/>
          <w:sz w:val="20"/>
          <w:szCs w:val="20"/>
        </w:rPr>
        <w:t>, nebo za tři měsíce a podobně, znějí lákavě, ale i během té</w:t>
      </w:r>
      <w:r w:rsidR="00845A34">
        <w:rPr>
          <w:rFonts w:ascii="Arial" w:hAnsi="Arial" w:cs="Arial"/>
          <w:sz w:val="20"/>
          <w:szCs w:val="20"/>
        </w:rPr>
        <w:t>to</w:t>
      </w:r>
      <w:r w:rsidR="006F32FB">
        <w:rPr>
          <w:rFonts w:ascii="Arial" w:hAnsi="Arial" w:cs="Arial"/>
          <w:sz w:val="20"/>
          <w:szCs w:val="20"/>
        </w:rPr>
        <w:t xml:space="preserve"> krátké doby se finanční situace dlužníka může zcela změnit,“ varuje Martin Novák, hlavní analytik Broker Consulting</w:t>
      </w:r>
      <w:r w:rsidR="008E19F3">
        <w:rPr>
          <w:rFonts w:ascii="Arial" w:hAnsi="Arial" w:cs="Arial"/>
          <w:sz w:val="20"/>
          <w:szCs w:val="20"/>
        </w:rPr>
        <w:t>, a pokračuje: „</w:t>
      </w:r>
      <w:r w:rsidR="00845A34">
        <w:rPr>
          <w:rFonts w:ascii="Arial" w:hAnsi="Arial" w:cs="Arial"/>
          <w:sz w:val="20"/>
          <w:szCs w:val="20"/>
        </w:rPr>
        <w:t xml:space="preserve">V tomto období bychom </w:t>
      </w:r>
      <w:r w:rsidR="003A4014">
        <w:rPr>
          <w:rFonts w:ascii="Arial" w:hAnsi="Arial" w:cs="Arial"/>
          <w:sz w:val="20"/>
          <w:szCs w:val="20"/>
        </w:rPr>
        <w:t xml:space="preserve">se </w:t>
      </w:r>
      <w:r w:rsidR="00845A34">
        <w:rPr>
          <w:rFonts w:ascii="Arial" w:hAnsi="Arial" w:cs="Arial"/>
          <w:sz w:val="20"/>
          <w:szCs w:val="20"/>
        </w:rPr>
        <w:t>také měli mít na pozoru s ohledem na prodejní triky některých obchodníků. N</w:t>
      </w:r>
      <w:r w:rsidR="008E19F3">
        <w:rPr>
          <w:rFonts w:ascii="Arial" w:hAnsi="Arial" w:cs="Arial"/>
          <w:sz w:val="20"/>
          <w:szCs w:val="20"/>
        </w:rPr>
        <w:t xml:space="preserve">ešvarem prodejců je, že nabízejí nákupy </w:t>
      </w:r>
      <w:r w:rsidR="00845A34">
        <w:rPr>
          <w:rFonts w:ascii="Arial" w:hAnsi="Arial" w:cs="Arial"/>
          <w:sz w:val="20"/>
          <w:szCs w:val="20"/>
        </w:rPr>
        <w:t>jak s odloženým splácením</w:t>
      </w:r>
      <w:r w:rsidR="003A4014">
        <w:rPr>
          <w:rFonts w:ascii="Arial" w:hAnsi="Arial" w:cs="Arial"/>
          <w:sz w:val="20"/>
          <w:szCs w:val="20"/>
        </w:rPr>
        <w:t>,</w:t>
      </w:r>
      <w:r w:rsidR="00845A34">
        <w:rPr>
          <w:rFonts w:ascii="Arial" w:hAnsi="Arial" w:cs="Arial"/>
          <w:sz w:val="20"/>
          <w:szCs w:val="20"/>
        </w:rPr>
        <w:t xml:space="preserve"> tak </w:t>
      </w:r>
      <w:r w:rsidR="008E19F3">
        <w:rPr>
          <w:rFonts w:ascii="Arial" w:hAnsi="Arial" w:cs="Arial"/>
          <w:sz w:val="20"/>
          <w:szCs w:val="20"/>
        </w:rPr>
        <w:t xml:space="preserve">na kreditní kartu, kterou kupujícímu ochotně </w:t>
      </w:r>
      <w:r w:rsidR="00845A34">
        <w:rPr>
          <w:rFonts w:ascii="Arial" w:hAnsi="Arial" w:cs="Arial"/>
          <w:sz w:val="20"/>
          <w:szCs w:val="20"/>
        </w:rPr>
        <w:t xml:space="preserve">rovnou </w:t>
      </w:r>
      <w:r w:rsidR="008E19F3">
        <w:rPr>
          <w:rFonts w:ascii="Arial" w:hAnsi="Arial" w:cs="Arial"/>
          <w:sz w:val="20"/>
          <w:szCs w:val="20"/>
        </w:rPr>
        <w:t>sjednají.</w:t>
      </w:r>
      <w:r w:rsidR="00845A34">
        <w:rPr>
          <w:rFonts w:ascii="Arial" w:hAnsi="Arial" w:cs="Arial"/>
          <w:sz w:val="20"/>
          <w:szCs w:val="20"/>
        </w:rPr>
        <w:t xml:space="preserve"> Jedná se o úvěrový produkt, který má svá pravidla, výhody a samozřejmě úskalí. Může se jednoduše stát, že sice první </w:t>
      </w:r>
      <w:r w:rsidR="003A4014">
        <w:rPr>
          <w:rFonts w:ascii="Arial" w:hAnsi="Arial" w:cs="Arial"/>
          <w:sz w:val="20"/>
          <w:szCs w:val="20"/>
        </w:rPr>
        <w:t xml:space="preserve">tři </w:t>
      </w:r>
      <w:r w:rsidR="00845A34">
        <w:rPr>
          <w:rFonts w:ascii="Arial" w:hAnsi="Arial" w:cs="Arial"/>
          <w:sz w:val="20"/>
          <w:szCs w:val="20"/>
        </w:rPr>
        <w:t xml:space="preserve">měsíce nemusíte splácet, ale pak </w:t>
      </w:r>
      <w:r w:rsidR="003A4014">
        <w:rPr>
          <w:rFonts w:ascii="Arial" w:hAnsi="Arial" w:cs="Arial"/>
          <w:sz w:val="20"/>
          <w:szCs w:val="20"/>
        </w:rPr>
        <w:t xml:space="preserve">dlužníka </w:t>
      </w:r>
      <w:r w:rsidR="00845A34">
        <w:rPr>
          <w:rFonts w:ascii="Arial" w:hAnsi="Arial" w:cs="Arial"/>
          <w:sz w:val="20"/>
          <w:szCs w:val="20"/>
        </w:rPr>
        <w:t>čeká úvěr s úrokovou sazbou výrazně vyšší</w:t>
      </w:r>
      <w:r w:rsidR="007E546A">
        <w:rPr>
          <w:rFonts w:ascii="Arial" w:hAnsi="Arial" w:cs="Arial"/>
          <w:sz w:val="20"/>
          <w:szCs w:val="20"/>
        </w:rPr>
        <w:t>,</w:t>
      </w:r>
      <w:r w:rsidR="00845A34">
        <w:rPr>
          <w:rFonts w:ascii="Arial" w:hAnsi="Arial" w:cs="Arial"/>
          <w:sz w:val="20"/>
          <w:szCs w:val="20"/>
        </w:rPr>
        <w:t xml:space="preserve"> než je zmíněný průměr. Pokud se takové úvěry nakupí, může být cesta k dluhové spirále až překvapivě krátká</w:t>
      </w:r>
      <w:r w:rsidR="00111C28">
        <w:rPr>
          <w:rFonts w:ascii="Arial" w:hAnsi="Arial" w:cs="Arial"/>
          <w:sz w:val="20"/>
          <w:szCs w:val="20"/>
        </w:rPr>
        <w:t>.</w:t>
      </w:r>
      <w:r w:rsidR="008E19F3">
        <w:rPr>
          <w:rFonts w:ascii="Arial" w:hAnsi="Arial" w:cs="Arial"/>
          <w:sz w:val="20"/>
          <w:szCs w:val="20"/>
        </w:rPr>
        <w:t>“</w:t>
      </w:r>
      <w:r w:rsidR="006F32FB">
        <w:rPr>
          <w:rFonts w:ascii="Arial" w:hAnsi="Arial" w:cs="Arial"/>
          <w:sz w:val="20"/>
          <w:szCs w:val="20"/>
        </w:rPr>
        <w:t xml:space="preserve">  </w:t>
      </w:r>
    </w:p>
    <w:p w14:paraId="0C4FC15F" w14:textId="77777777" w:rsidR="0083053E" w:rsidRDefault="0083053E" w:rsidP="000E3D86">
      <w:pPr>
        <w:rPr>
          <w:rFonts w:ascii="Arial" w:hAnsi="Arial" w:cs="Arial"/>
          <w:sz w:val="20"/>
          <w:szCs w:val="20"/>
        </w:rPr>
      </w:pPr>
    </w:p>
    <w:p w14:paraId="648B75F6" w14:textId="55BD1333" w:rsidR="00E00DC6" w:rsidRDefault="00E00DC6" w:rsidP="000E3D86">
      <w:pPr>
        <w:rPr>
          <w:rFonts w:ascii="Arial" w:hAnsi="Arial" w:cs="Arial"/>
          <w:sz w:val="20"/>
          <w:szCs w:val="20"/>
        </w:rPr>
      </w:pPr>
      <w:r>
        <w:rPr>
          <w:rFonts w:ascii="Arial" w:hAnsi="Arial" w:cs="Arial"/>
          <w:sz w:val="20"/>
          <w:szCs w:val="20"/>
        </w:rPr>
        <w:t xml:space="preserve">Platí několik pravidel, které by žadatelé o spotřebitelský úvěr měli dodržet, než se upíšou: </w:t>
      </w:r>
    </w:p>
    <w:p w14:paraId="2859FE78" w14:textId="3FDD599A" w:rsidR="008E19F3" w:rsidRDefault="008E19F3" w:rsidP="00E00DC6">
      <w:pPr>
        <w:pStyle w:val="Odstavecseseznamem"/>
        <w:numPr>
          <w:ilvl w:val="0"/>
          <w:numId w:val="2"/>
        </w:numPr>
        <w:rPr>
          <w:rFonts w:ascii="Arial" w:hAnsi="Arial" w:cs="Arial"/>
          <w:sz w:val="20"/>
          <w:szCs w:val="20"/>
        </w:rPr>
      </w:pPr>
      <w:r>
        <w:rPr>
          <w:rFonts w:ascii="Arial" w:hAnsi="Arial" w:cs="Arial"/>
          <w:sz w:val="20"/>
          <w:szCs w:val="20"/>
        </w:rPr>
        <w:t>Předně si zodpovězte otázku, zda půjčku opravdu potřebujte. Pokud ano, tak zda budete mít na splátky úvěru dostatečné prostředky a disciplínu.</w:t>
      </w:r>
    </w:p>
    <w:p w14:paraId="51967A7F" w14:textId="62342892" w:rsidR="00E00DC6" w:rsidRDefault="008E19F3" w:rsidP="00E00DC6">
      <w:pPr>
        <w:pStyle w:val="Odstavecseseznamem"/>
        <w:numPr>
          <w:ilvl w:val="0"/>
          <w:numId w:val="2"/>
        </w:numPr>
        <w:rPr>
          <w:rFonts w:ascii="Arial" w:hAnsi="Arial" w:cs="Arial"/>
          <w:sz w:val="20"/>
          <w:szCs w:val="20"/>
        </w:rPr>
      </w:pPr>
      <w:r>
        <w:rPr>
          <w:rFonts w:ascii="Arial" w:hAnsi="Arial" w:cs="Arial"/>
          <w:sz w:val="20"/>
          <w:szCs w:val="20"/>
        </w:rPr>
        <w:t>Kromě úrokové sazby se zajímejte</w:t>
      </w:r>
      <w:r w:rsidR="00E00DC6">
        <w:rPr>
          <w:rFonts w:ascii="Arial" w:hAnsi="Arial" w:cs="Arial"/>
          <w:sz w:val="20"/>
          <w:szCs w:val="20"/>
        </w:rPr>
        <w:t xml:space="preserve"> i o RPSN, tedy o celkové náklady na úvěr včetně všech poplatků</w:t>
      </w:r>
      <w:r w:rsidR="003A4014">
        <w:rPr>
          <w:rFonts w:ascii="Arial" w:hAnsi="Arial" w:cs="Arial"/>
          <w:sz w:val="20"/>
          <w:szCs w:val="20"/>
        </w:rPr>
        <w:t>.</w:t>
      </w:r>
    </w:p>
    <w:p w14:paraId="62242822" w14:textId="72BB82EA" w:rsidR="00845A34" w:rsidRDefault="00845A34" w:rsidP="003A4014">
      <w:pPr>
        <w:pStyle w:val="Odstavecseseznamem"/>
        <w:ind w:left="720" w:firstLine="0"/>
        <w:rPr>
          <w:rFonts w:ascii="Arial" w:hAnsi="Arial" w:cs="Arial"/>
          <w:sz w:val="20"/>
          <w:szCs w:val="20"/>
        </w:rPr>
      </w:pPr>
      <w:r>
        <w:rPr>
          <w:rFonts w:ascii="Arial" w:hAnsi="Arial" w:cs="Arial"/>
          <w:sz w:val="20"/>
          <w:szCs w:val="20"/>
        </w:rPr>
        <w:t xml:space="preserve">Pokud je rozdíl mezi úrokovou sazbou a RPSN vyšší než 0,1 – 0,3 </w:t>
      </w:r>
      <w:r w:rsidR="003A4014">
        <w:rPr>
          <w:rFonts w:ascii="Arial" w:hAnsi="Arial" w:cs="Arial"/>
          <w:sz w:val="20"/>
          <w:szCs w:val="20"/>
        </w:rPr>
        <w:t>procentního bodu,</w:t>
      </w:r>
      <w:r>
        <w:rPr>
          <w:rFonts w:ascii="Arial" w:hAnsi="Arial" w:cs="Arial"/>
          <w:sz w:val="20"/>
          <w:szCs w:val="20"/>
        </w:rPr>
        <w:t xml:space="preserve"> je potřeba se ptát</w:t>
      </w:r>
      <w:r w:rsidR="003A4014">
        <w:rPr>
          <w:rFonts w:ascii="Arial" w:hAnsi="Arial" w:cs="Arial"/>
          <w:sz w:val="20"/>
          <w:szCs w:val="20"/>
        </w:rPr>
        <w:t>,</w:t>
      </w:r>
      <w:r>
        <w:rPr>
          <w:rFonts w:ascii="Arial" w:hAnsi="Arial" w:cs="Arial"/>
          <w:sz w:val="20"/>
          <w:szCs w:val="20"/>
        </w:rPr>
        <w:t xml:space="preserve"> jaké poplatky jsou s úvěrem spojeny!</w:t>
      </w:r>
    </w:p>
    <w:p w14:paraId="2CD8FF22" w14:textId="1E9A3509" w:rsidR="00E00DC6" w:rsidRDefault="008E19F3" w:rsidP="00E00DC6">
      <w:pPr>
        <w:pStyle w:val="Odstavecseseznamem"/>
        <w:numPr>
          <w:ilvl w:val="0"/>
          <w:numId w:val="2"/>
        </w:numPr>
        <w:rPr>
          <w:rFonts w:ascii="Arial" w:hAnsi="Arial" w:cs="Arial"/>
          <w:sz w:val="20"/>
          <w:szCs w:val="20"/>
        </w:rPr>
      </w:pPr>
      <w:r>
        <w:rPr>
          <w:rFonts w:ascii="Arial" w:hAnsi="Arial" w:cs="Arial"/>
          <w:sz w:val="20"/>
          <w:szCs w:val="20"/>
        </w:rPr>
        <w:t>Zjistěte</w:t>
      </w:r>
      <w:r w:rsidR="00E00DC6">
        <w:rPr>
          <w:rFonts w:ascii="Arial" w:hAnsi="Arial" w:cs="Arial"/>
          <w:sz w:val="20"/>
          <w:szCs w:val="20"/>
        </w:rPr>
        <w:t xml:space="preserve"> si, která spol</w:t>
      </w:r>
      <w:r>
        <w:rPr>
          <w:rFonts w:ascii="Arial" w:hAnsi="Arial" w:cs="Arial"/>
          <w:sz w:val="20"/>
          <w:szCs w:val="20"/>
        </w:rPr>
        <w:t>ečnost je poskytovatelem úvěrů, nespokojte se jen se zprostředkovatelem, tedy prodejcem zboží</w:t>
      </w:r>
      <w:r w:rsidR="003A4014">
        <w:rPr>
          <w:rFonts w:ascii="Arial" w:hAnsi="Arial" w:cs="Arial"/>
          <w:sz w:val="20"/>
          <w:szCs w:val="20"/>
        </w:rPr>
        <w:t>.</w:t>
      </w:r>
      <w:r>
        <w:rPr>
          <w:rFonts w:ascii="Arial" w:hAnsi="Arial" w:cs="Arial"/>
          <w:sz w:val="20"/>
          <w:szCs w:val="20"/>
        </w:rPr>
        <w:t xml:space="preserve"> </w:t>
      </w:r>
    </w:p>
    <w:p w14:paraId="6AA8D4CC" w14:textId="5EB8AC68" w:rsidR="00E00DC6" w:rsidRDefault="00E00DC6" w:rsidP="00E00DC6">
      <w:pPr>
        <w:pStyle w:val="Odstavecseseznamem"/>
        <w:numPr>
          <w:ilvl w:val="0"/>
          <w:numId w:val="2"/>
        </w:numPr>
        <w:rPr>
          <w:rFonts w:ascii="Arial" w:hAnsi="Arial" w:cs="Arial"/>
          <w:sz w:val="20"/>
          <w:szCs w:val="20"/>
        </w:rPr>
      </w:pPr>
      <w:r>
        <w:rPr>
          <w:rFonts w:ascii="Arial" w:hAnsi="Arial" w:cs="Arial"/>
          <w:sz w:val="20"/>
          <w:szCs w:val="20"/>
        </w:rPr>
        <w:t>Pře</w:t>
      </w:r>
      <w:r w:rsidR="008E19F3">
        <w:rPr>
          <w:rFonts w:ascii="Arial" w:hAnsi="Arial" w:cs="Arial"/>
          <w:sz w:val="20"/>
          <w:szCs w:val="20"/>
        </w:rPr>
        <w:t>čtěte</w:t>
      </w:r>
      <w:r>
        <w:rPr>
          <w:rFonts w:ascii="Arial" w:hAnsi="Arial" w:cs="Arial"/>
          <w:sz w:val="20"/>
          <w:szCs w:val="20"/>
        </w:rPr>
        <w:t xml:space="preserve"> si kompletní podmínky úvěru, nejenom marketingový leták. Neopomeňte i </w:t>
      </w:r>
      <w:r w:rsidR="003A4014">
        <w:rPr>
          <w:rFonts w:ascii="Arial" w:hAnsi="Arial" w:cs="Arial"/>
          <w:sz w:val="20"/>
          <w:szCs w:val="20"/>
        </w:rPr>
        <w:t xml:space="preserve">na </w:t>
      </w:r>
      <w:r>
        <w:rPr>
          <w:rFonts w:ascii="Arial" w:hAnsi="Arial" w:cs="Arial"/>
          <w:sz w:val="20"/>
          <w:szCs w:val="20"/>
        </w:rPr>
        <w:t xml:space="preserve">sankce při nesplácení. </w:t>
      </w:r>
    </w:p>
    <w:p w14:paraId="7776629E" w14:textId="0B3B1819" w:rsidR="008E19F3" w:rsidRDefault="008E19F3" w:rsidP="00E00DC6">
      <w:pPr>
        <w:pStyle w:val="Odstavecseseznamem"/>
        <w:numPr>
          <w:ilvl w:val="0"/>
          <w:numId w:val="2"/>
        </w:numPr>
        <w:rPr>
          <w:rFonts w:ascii="Arial" w:hAnsi="Arial" w:cs="Arial"/>
          <w:sz w:val="20"/>
          <w:szCs w:val="20"/>
        </w:rPr>
      </w:pPr>
      <w:r>
        <w:rPr>
          <w:rFonts w:ascii="Arial" w:hAnsi="Arial" w:cs="Arial"/>
          <w:sz w:val="20"/>
          <w:szCs w:val="20"/>
        </w:rPr>
        <w:t xml:space="preserve">Ujistěte se, že se opravdu jedná o </w:t>
      </w:r>
      <w:r w:rsidR="0094705C">
        <w:rPr>
          <w:rFonts w:ascii="Arial" w:hAnsi="Arial" w:cs="Arial"/>
          <w:sz w:val="20"/>
          <w:szCs w:val="20"/>
        </w:rPr>
        <w:t xml:space="preserve">neúčelový </w:t>
      </w:r>
      <w:r>
        <w:rPr>
          <w:rFonts w:ascii="Arial" w:hAnsi="Arial" w:cs="Arial"/>
          <w:sz w:val="20"/>
          <w:szCs w:val="20"/>
        </w:rPr>
        <w:t>spotřebitelský úvěr</w:t>
      </w:r>
      <w:r w:rsidR="0094705C">
        <w:rPr>
          <w:rFonts w:ascii="Arial" w:hAnsi="Arial" w:cs="Arial"/>
          <w:sz w:val="20"/>
          <w:szCs w:val="20"/>
        </w:rPr>
        <w:t xml:space="preserve"> pro fyzické osoby</w:t>
      </w:r>
      <w:r>
        <w:rPr>
          <w:rFonts w:ascii="Arial" w:hAnsi="Arial" w:cs="Arial"/>
          <w:sz w:val="20"/>
          <w:szCs w:val="20"/>
        </w:rPr>
        <w:t xml:space="preserve">, který podléhá </w:t>
      </w:r>
      <w:r w:rsidR="0094705C">
        <w:rPr>
          <w:rFonts w:ascii="Arial" w:hAnsi="Arial" w:cs="Arial"/>
          <w:sz w:val="20"/>
          <w:szCs w:val="20"/>
        </w:rPr>
        <w:t>zákonu o spotřebitelském úvěru a dohledu České národní banky</w:t>
      </w:r>
      <w:r>
        <w:rPr>
          <w:rFonts w:ascii="Arial" w:hAnsi="Arial" w:cs="Arial"/>
          <w:sz w:val="20"/>
          <w:szCs w:val="20"/>
        </w:rPr>
        <w:t>.</w:t>
      </w:r>
    </w:p>
    <w:p w14:paraId="792DB73E" w14:textId="2CC1FEF9" w:rsidR="00355366" w:rsidRDefault="00355366" w:rsidP="000E3D86">
      <w:pPr>
        <w:rPr>
          <w:rFonts w:ascii="Arial" w:hAnsi="Arial" w:cs="Arial"/>
          <w:sz w:val="20"/>
          <w:szCs w:val="20"/>
        </w:rPr>
      </w:pPr>
    </w:p>
    <w:p w14:paraId="7E5D59E8" w14:textId="5BE4E55D" w:rsidR="0083053E" w:rsidRDefault="008E19F3" w:rsidP="000E3D86">
      <w:pPr>
        <w:rPr>
          <w:rFonts w:ascii="Arial" w:hAnsi="Arial" w:cs="Arial"/>
          <w:sz w:val="20"/>
          <w:szCs w:val="20"/>
        </w:rPr>
      </w:pPr>
      <w:r>
        <w:rPr>
          <w:rFonts w:ascii="Arial" w:hAnsi="Arial" w:cs="Arial"/>
          <w:sz w:val="20"/>
          <w:szCs w:val="20"/>
        </w:rPr>
        <w:t>„</w:t>
      </w:r>
      <w:r w:rsidR="00E00DC6">
        <w:rPr>
          <w:rFonts w:ascii="Arial" w:hAnsi="Arial" w:cs="Arial"/>
          <w:sz w:val="20"/>
          <w:szCs w:val="20"/>
        </w:rPr>
        <w:t xml:space="preserve">V tuzemsku </w:t>
      </w:r>
      <w:r w:rsidR="0094705C">
        <w:rPr>
          <w:rFonts w:ascii="Arial" w:hAnsi="Arial" w:cs="Arial"/>
          <w:sz w:val="20"/>
          <w:szCs w:val="20"/>
        </w:rPr>
        <w:t xml:space="preserve">totiž kromě klasických bankovních domů </w:t>
      </w:r>
      <w:r w:rsidR="00E00DC6">
        <w:rPr>
          <w:rFonts w:ascii="Arial" w:hAnsi="Arial" w:cs="Arial"/>
          <w:sz w:val="20"/>
          <w:szCs w:val="20"/>
        </w:rPr>
        <w:t xml:space="preserve">působí </w:t>
      </w:r>
      <w:r w:rsidR="0094705C">
        <w:rPr>
          <w:rFonts w:ascii="Arial" w:hAnsi="Arial" w:cs="Arial"/>
          <w:sz w:val="20"/>
          <w:szCs w:val="20"/>
        </w:rPr>
        <w:t xml:space="preserve">také </w:t>
      </w:r>
      <w:r w:rsidR="00E00DC6">
        <w:rPr>
          <w:rFonts w:ascii="Arial" w:hAnsi="Arial" w:cs="Arial"/>
          <w:sz w:val="20"/>
          <w:szCs w:val="20"/>
        </w:rPr>
        <w:t>88 nebankovních poskytovatelů neúčelových spotřebitelských úvěrů, kteří mají licenci České národní banky.</w:t>
      </w:r>
      <w:r w:rsidR="0094705C">
        <w:rPr>
          <w:rFonts w:ascii="Arial" w:hAnsi="Arial" w:cs="Arial"/>
          <w:sz w:val="20"/>
          <w:szCs w:val="20"/>
        </w:rPr>
        <w:t xml:space="preserve"> Podmínky se tak mohou poměrně l</w:t>
      </w:r>
      <w:r w:rsidR="003A4014">
        <w:rPr>
          <w:rFonts w:ascii="Arial" w:hAnsi="Arial" w:cs="Arial"/>
          <w:sz w:val="20"/>
          <w:szCs w:val="20"/>
        </w:rPr>
        <w:t>i</w:t>
      </w:r>
      <w:r w:rsidR="0094705C">
        <w:rPr>
          <w:rFonts w:ascii="Arial" w:hAnsi="Arial" w:cs="Arial"/>
          <w:sz w:val="20"/>
          <w:szCs w:val="20"/>
        </w:rPr>
        <w:t>šit a to nejen v úrokové sazbě. Zároveň je potřeba si dát velký pozor</w:t>
      </w:r>
      <w:r w:rsidR="00111C28">
        <w:rPr>
          <w:rFonts w:ascii="Arial" w:hAnsi="Arial" w:cs="Arial"/>
          <w:sz w:val="20"/>
          <w:szCs w:val="20"/>
        </w:rPr>
        <w:t xml:space="preserve">, aby se zájemci nenechali vmanipulovat do uzavření </w:t>
      </w:r>
      <w:r w:rsidR="0094705C">
        <w:rPr>
          <w:rFonts w:ascii="Arial" w:hAnsi="Arial" w:cs="Arial"/>
          <w:sz w:val="20"/>
          <w:szCs w:val="20"/>
        </w:rPr>
        <w:t xml:space="preserve">podnikatelského úvěru. Některé společnosti nabízejí i tuto variantu na tzv. mokré </w:t>
      </w:r>
      <w:r w:rsidR="003A4014">
        <w:rPr>
          <w:rFonts w:ascii="Arial" w:hAnsi="Arial" w:cs="Arial"/>
          <w:sz w:val="20"/>
          <w:szCs w:val="20"/>
        </w:rPr>
        <w:t>IČO</w:t>
      </w:r>
      <w:r w:rsidR="0094705C">
        <w:rPr>
          <w:rFonts w:ascii="Arial" w:hAnsi="Arial" w:cs="Arial"/>
          <w:sz w:val="20"/>
          <w:szCs w:val="20"/>
        </w:rPr>
        <w:t>. Na podnikatelské úvěry se ovšem vztahuje zcela jiná legislativa a výrazně nižší ochrana</w:t>
      </w:r>
      <w:r w:rsidR="003A4014">
        <w:rPr>
          <w:rFonts w:ascii="Arial" w:hAnsi="Arial" w:cs="Arial"/>
          <w:sz w:val="20"/>
          <w:szCs w:val="20"/>
        </w:rPr>
        <w:t xml:space="preserve">. </w:t>
      </w:r>
      <w:r w:rsidR="0094705C">
        <w:rPr>
          <w:rFonts w:ascii="Arial" w:hAnsi="Arial" w:cs="Arial"/>
          <w:sz w:val="20"/>
          <w:szCs w:val="20"/>
        </w:rPr>
        <w:t>V</w:t>
      </w:r>
      <w:r w:rsidR="00111C28">
        <w:rPr>
          <w:rFonts w:ascii="Arial" w:hAnsi="Arial" w:cs="Arial"/>
          <w:sz w:val="20"/>
          <w:szCs w:val="20"/>
        </w:rPr>
        <w:t xml:space="preserve"> případě i sebemenšího nedodržení podmínek může poskytovatel </w:t>
      </w:r>
      <w:r w:rsidR="008E6060">
        <w:rPr>
          <w:rFonts w:ascii="Arial" w:hAnsi="Arial" w:cs="Arial"/>
          <w:sz w:val="20"/>
          <w:szCs w:val="20"/>
        </w:rPr>
        <w:t xml:space="preserve">půjčky </w:t>
      </w:r>
      <w:r w:rsidR="00111C28">
        <w:rPr>
          <w:rFonts w:ascii="Arial" w:hAnsi="Arial" w:cs="Arial"/>
          <w:sz w:val="20"/>
          <w:szCs w:val="20"/>
        </w:rPr>
        <w:t xml:space="preserve">vyžadovat velmi vysoké sankce,“ </w:t>
      </w:r>
      <w:r w:rsidR="003A6435">
        <w:rPr>
          <w:rFonts w:ascii="Arial" w:hAnsi="Arial" w:cs="Arial"/>
          <w:sz w:val="20"/>
          <w:szCs w:val="20"/>
        </w:rPr>
        <w:t xml:space="preserve">upozorňuje Novák. </w:t>
      </w:r>
    </w:p>
    <w:p w14:paraId="1B1E80F8" w14:textId="77777777" w:rsidR="0083053E" w:rsidRDefault="0083053E" w:rsidP="000E3D86">
      <w:pPr>
        <w:rPr>
          <w:rFonts w:ascii="Arial" w:hAnsi="Arial" w:cs="Arial"/>
          <w:sz w:val="20"/>
          <w:szCs w:val="20"/>
        </w:rPr>
      </w:pPr>
    </w:p>
    <w:p w14:paraId="450BC345" w14:textId="6F868F24" w:rsidR="0079572A" w:rsidRDefault="00355366" w:rsidP="000E3D86">
      <w:pPr>
        <w:rPr>
          <w:rFonts w:ascii="Arial" w:hAnsi="Arial" w:cs="Arial"/>
          <w:sz w:val="20"/>
          <w:szCs w:val="20"/>
        </w:rPr>
      </w:pPr>
      <w:r>
        <w:rPr>
          <w:rFonts w:ascii="Arial" w:hAnsi="Arial" w:cs="Arial"/>
          <w:sz w:val="20"/>
          <w:szCs w:val="20"/>
        </w:rPr>
        <w:t xml:space="preserve">Od ledna 2017, kdy Broker Consulting Index spotřebitelských úvěrů sleduje, se průměrné úrokové sazby </w:t>
      </w:r>
      <w:r w:rsidR="0042193A">
        <w:rPr>
          <w:rFonts w:ascii="Arial" w:hAnsi="Arial" w:cs="Arial"/>
          <w:sz w:val="20"/>
          <w:szCs w:val="20"/>
        </w:rPr>
        <w:t xml:space="preserve">snížily o 4,45 procentních bodů. Spotřebitelé, kteří si brali úvěry </w:t>
      </w:r>
      <w:r w:rsidR="001021CB">
        <w:rPr>
          <w:rFonts w:ascii="Arial" w:hAnsi="Arial" w:cs="Arial"/>
          <w:sz w:val="20"/>
          <w:szCs w:val="20"/>
        </w:rPr>
        <w:t xml:space="preserve">na vyšší částky </w:t>
      </w:r>
      <w:r w:rsidR="0042193A">
        <w:rPr>
          <w:rFonts w:ascii="Arial" w:hAnsi="Arial" w:cs="Arial"/>
          <w:sz w:val="20"/>
          <w:szCs w:val="20"/>
        </w:rPr>
        <w:t xml:space="preserve">před dvěma roky, mají nyní příležitost využít </w:t>
      </w:r>
      <w:r w:rsidR="00385EED">
        <w:rPr>
          <w:rFonts w:ascii="Arial" w:hAnsi="Arial" w:cs="Arial"/>
          <w:sz w:val="20"/>
          <w:szCs w:val="20"/>
        </w:rPr>
        <w:t>konsolidace</w:t>
      </w:r>
      <w:r w:rsidR="002F7EC2">
        <w:rPr>
          <w:rFonts w:ascii="Arial" w:hAnsi="Arial" w:cs="Arial"/>
          <w:sz w:val="20"/>
          <w:szCs w:val="20"/>
        </w:rPr>
        <w:t xml:space="preserve"> či refinancování </w:t>
      </w:r>
      <w:r w:rsidR="00385EED">
        <w:rPr>
          <w:rFonts w:ascii="Arial" w:hAnsi="Arial" w:cs="Arial"/>
          <w:sz w:val="20"/>
          <w:szCs w:val="20"/>
        </w:rPr>
        <w:t xml:space="preserve">úvěrů a snížit si </w:t>
      </w:r>
      <w:r w:rsidR="002F7EC2">
        <w:rPr>
          <w:rFonts w:ascii="Arial" w:hAnsi="Arial" w:cs="Arial"/>
          <w:sz w:val="20"/>
          <w:szCs w:val="20"/>
        </w:rPr>
        <w:t xml:space="preserve">tak </w:t>
      </w:r>
      <w:r w:rsidR="00385EED">
        <w:rPr>
          <w:rFonts w:ascii="Arial" w:hAnsi="Arial" w:cs="Arial"/>
          <w:sz w:val="20"/>
          <w:szCs w:val="20"/>
        </w:rPr>
        <w:t xml:space="preserve">výrazně měsíční splátky. </w:t>
      </w:r>
    </w:p>
    <w:p w14:paraId="013A31B7" w14:textId="77777777" w:rsidR="003A6435" w:rsidRDefault="003A6435" w:rsidP="000E3D86">
      <w:pPr>
        <w:rPr>
          <w:rFonts w:ascii="Arial" w:hAnsi="Arial" w:cs="Arial"/>
          <w:sz w:val="20"/>
          <w:szCs w:val="20"/>
        </w:rPr>
      </w:pPr>
    </w:p>
    <w:p w14:paraId="4386EC8B" w14:textId="5294929E" w:rsidR="003A4014" w:rsidRDefault="0079572A" w:rsidP="00270DB3">
      <w:pPr>
        <w:rPr>
          <w:rFonts w:ascii="Arial" w:hAnsi="Arial" w:cs="Arial"/>
          <w:sz w:val="20"/>
          <w:szCs w:val="20"/>
        </w:rPr>
      </w:pPr>
      <w:r w:rsidRPr="002F7EC2">
        <w:rPr>
          <w:rFonts w:ascii="Arial" w:hAnsi="Arial" w:cs="Arial"/>
          <w:sz w:val="20"/>
          <w:szCs w:val="20"/>
        </w:rPr>
        <w:t>„</w:t>
      </w:r>
      <w:r w:rsidR="002F485A" w:rsidRPr="002F7EC2">
        <w:rPr>
          <w:rFonts w:ascii="Arial" w:hAnsi="Arial" w:cs="Arial"/>
          <w:sz w:val="20"/>
          <w:szCs w:val="20"/>
        </w:rPr>
        <w:t xml:space="preserve">Konsolidace </w:t>
      </w:r>
      <w:r w:rsidR="002F7EC2">
        <w:rPr>
          <w:rFonts w:ascii="Arial" w:hAnsi="Arial" w:cs="Arial"/>
          <w:sz w:val="20"/>
          <w:szCs w:val="20"/>
        </w:rPr>
        <w:t xml:space="preserve">a refinancování spotřebitelských neúčelových úvěrů </w:t>
      </w:r>
      <w:r w:rsidR="002F7EC2" w:rsidRPr="002F7EC2">
        <w:rPr>
          <w:rFonts w:ascii="Arial" w:hAnsi="Arial" w:cs="Arial"/>
          <w:sz w:val="20"/>
          <w:szCs w:val="20"/>
        </w:rPr>
        <w:t xml:space="preserve">řešíme v posledních měsících </w:t>
      </w:r>
      <w:r w:rsidR="002F7EC2">
        <w:rPr>
          <w:rFonts w:ascii="Arial" w:hAnsi="Arial" w:cs="Arial"/>
          <w:sz w:val="20"/>
          <w:szCs w:val="20"/>
        </w:rPr>
        <w:t xml:space="preserve">ve více než </w:t>
      </w:r>
      <w:r w:rsidR="00E06132">
        <w:rPr>
          <w:rFonts w:ascii="Arial" w:hAnsi="Arial" w:cs="Arial"/>
          <w:sz w:val="20"/>
          <w:szCs w:val="20"/>
        </w:rPr>
        <w:t xml:space="preserve">70 </w:t>
      </w:r>
      <w:r w:rsidR="002F7EC2" w:rsidRPr="002F7EC2">
        <w:rPr>
          <w:rFonts w:ascii="Arial" w:hAnsi="Arial" w:cs="Arial"/>
          <w:sz w:val="20"/>
          <w:szCs w:val="20"/>
        </w:rPr>
        <w:t>procent případů</w:t>
      </w:r>
      <w:r w:rsidR="002F7EC2">
        <w:rPr>
          <w:rFonts w:ascii="Arial" w:hAnsi="Arial" w:cs="Arial"/>
          <w:sz w:val="20"/>
          <w:szCs w:val="20"/>
        </w:rPr>
        <w:t xml:space="preserve">, pro rodinné rozpočty </w:t>
      </w:r>
      <w:r w:rsidR="008C4B0D">
        <w:rPr>
          <w:rFonts w:ascii="Arial" w:hAnsi="Arial" w:cs="Arial"/>
          <w:sz w:val="20"/>
          <w:szCs w:val="20"/>
        </w:rPr>
        <w:t>je to řešením, jak si výrazně snížit měsíční zátěž</w:t>
      </w:r>
      <w:r w:rsidR="0050659B" w:rsidRPr="002F7EC2">
        <w:rPr>
          <w:rFonts w:ascii="Arial" w:hAnsi="Arial" w:cs="Arial"/>
          <w:sz w:val="20"/>
          <w:szCs w:val="20"/>
        </w:rPr>
        <w:t>,“ doplňuje zkušenostmi z praxe Aleš Berbr, ředitel poboček OK POINT v Třinci, Frýdku-Mís</w:t>
      </w:r>
      <w:r w:rsidR="003A4014">
        <w:rPr>
          <w:rFonts w:ascii="Arial" w:hAnsi="Arial" w:cs="Arial"/>
          <w:sz w:val="20"/>
          <w:szCs w:val="20"/>
        </w:rPr>
        <w:t>tku a Ostravě-</w:t>
      </w:r>
      <w:proofErr w:type="spellStart"/>
      <w:r w:rsidR="003A4014">
        <w:rPr>
          <w:rFonts w:ascii="Arial" w:hAnsi="Arial" w:cs="Arial"/>
          <w:sz w:val="20"/>
          <w:szCs w:val="20"/>
        </w:rPr>
        <w:t>Porubě</w:t>
      </w:r>
      <w:proofErr w:type="spellEnd"/>
      <w:r w:rsidR="003A4014">
        <w:rPr>
          <w:rFonts w:ascii="Arial" w:hAnsi="Arial" w:cs="Arial"/>
          <w:sz w:val="20"/>
          <w:szCs w:val="20"/>
        </w:rPr>
        <w:t>.</w:t>
      </w:r>
      <w:r w:rsidR="003A4014">
        <w:rPr>
          <w:rFonts w:ascii="Arial" w:hAnsi="Arial" w:cs="Arial"/>
          <w:sz w:val="20"/>
          <w:szCs w:val="20"/>
        </w:rPr>
        <w:tab/>
      </w:r>
      <w:r w:rsidR="003A4014">
        <w:rPr>
          <w:rFonts w:ascii="Arial" w:hAnsi="Arial" w:cs="Arial"/>
          <w:sz w:val="20"/>
          <w:szCs w:val="20"/>
        </w:rPr>
        <w:tab/>
      </w:r>
      <w:r w:rsidR="003A4014">
        <w:rPr>
          <w:rFonts w:ascii="Arial" w:hAnsi="Arial" w:cs="Arial"/>
          <w:sz w:val="20"/>
          <w:szCs w:val="20"/>
        </w:rPr>
        <w:tab/>
      </w:r>
    </w:p>
    <w:p w14:paraId="2D5A9FA3" w14:textId="77777777" w:rsidR="003A4014" w:rsidRDefault="003A4014" w:rsidP="00270DB3">
      <w:pPr>
        <w:rPr>
          <w:rFonts w:ascii="Arial" w:hAnsi="Arial" w:cs="Arial"/>
          <w:sz w:val="20"/>
          <w:szCs w:val="20"/>
        </w:rPr>
      </w:pPr>
    </w:p>
    <w:p w14:paraId="7A7E629A" w14:textId="2A2D77D3" w:rsidR="00270DB3" w:rsidRDefault="00270DB3" w:rsidP="00270DB3">
      <w:pPr>
        <w:rPr>
          <w:rFonts w:ascii="Arial" w:hAnsi="Arial" w:cs="Arial"/>
          <w:sz w:val="20"/>
          <w:szCs w:val="20"/>
        </w:rPr>
      </w:pPr>
      <w:r w:rsidRPr="00270DB3">
        <w:rPr>
          <w:rFonts w:ascii="Arial" w:hAnsi="Arial" w:cs="Arial"/>
          <w:sz w:val="20"/>
          <w:szCs w:val="20"/>
        </w:rPr>
        <w:t xml:space="preserve">Broker Consulting Index spotřebitelských úvěrů je analytický nástroj, který ukazuje průměrnou úrokovou sazbu u spotřebitelských úvěrů, jež zprostředkovali </w:t>
      </w:r>
      <w:r>
        <w:rPr>
          <w:rFonts w:ascii="Arial" w:hAnsi="Arial" w:cs="Arial"/>
          <w:sz w:val="20"/>
          <w:szCs w:val="20"/>
        </w:rPr>
        <w:t>konzultan</w:t>
      </w:r>
      <w:r w:rsidRPr="00270DB3">
        <w:rPr>
          <w:rFonts w:ascii="Arial" w:hAnsi="Arial" w:cs="Arial"/>
          <w:sz w:val="20"/>
          <w:szCs w:val="20"/>
        </w:rPr>
        <w:t xml:space="preserve">ti Broker Consulting a pobočky OK POINT u </w:t>
      </w:r>
      <w:r>
        <w:rPr>
          <w:rFonts w:ascii="Arial" w:hAnsi="Arial" w:cs="Arial"/>
          <w:sz w:val="20"/>
          <w:szCs w:val="20"/>
        </w:rPr>
        <w:t>kteréhoko</w:t>
      </w:r>
      <w:r w:rsidRPr="00270DB3">
        <w:rPr>
          <w:rFonts w:ascii="Arial" w:hAnsi="Arial" w:cs="Arial"/>
          <w:sz w:val="20"/>
          <w:szCs w:val="20"/>
        </w:rPr>
        <w:t>li poskytovatele bankovních úvěrů. Jedná se o vážený aritmetický průměr, kdy hlavní vahou je objem úvěru. Tedy čím vyšší úvěr, t</w:t>
      </w:r>
      <w:r>
        <w:rPr>
          <w:rFonts w:ascii="Arial" w:hAnsi="Arial" w:cs="Arial"/>
          <w:sz w:val="20"/>
          <w:szCs w:val="20"/>
        </w:rPr>
        <w:t>ím jeho sazba do Indexu vstupu</w:t>
      </w:r>
      <w:r w:rsidRPr="00270DB3">
        <w:rPr>
          <w:rFonts w:ascii="Arial" w:hAnsi="Arial" w:cs="Arial"/>
          <w:sz w:val="20"/>
          <w:szCs w:val="20"/>
        </w:rPr>
        <w:t>je větší vahou. Výhodou metody výpočtu je</w:t>
      </w:r>
      <w:r>
        <w:rPr>
          <w:rFonts w:ascii="Arial" w:hAnsi="Arial" w:cs="Arial"/>
          <w:sz w:val="20"/>
          <w:szCs w:val="20"/>
        </w:rPr>
        <w:t xml:space="preserve"> to</w:t>
      </w:r>
      <w:r w:rsidRPr="00270DB3">
        <w:rPr>
          <w:rFonts w:ascii="Arial" w:hAnsi="Arial" w:cs="Arial"/>
          <w:sz w:val="20"/>
          <w:szCs w:val="20"/>
        </w:rPr>
        <w:t xml:space="preserve">, že se do statistiky dostávají pouze  skutečně  schválené  úvěry a </w:t>
      </w:r>
      <w:r>
        <w:rPr>
          <w:rFonts w:ascii="Arial" w:hAnsi="Arial" w:cs="Arial"/>
          <w:sz w:val="20"/>
          <w:szCs w:val="20"/>
        </w:rPr>
        <w:t xml:space="preserve">to </w:t>
      </w:r>
      <w:r w:rsidRPr="00270DB3">
        <w:rPr>
          <w:rFonts w:ascii="Arial" w:hAnsi="Arial" w:cs="Arial"/>
          <w:sz w:val="20"/>
          <w:szCs w:val="20"/>
        </w:rPr>
        <w:t>bez výjimky všechny. Nemůže dojít ke zkreslení informací a Index není závislý na dodávkách dat z třetích stran.</w:t>
      </w:r>
    </w:p>
    <w:p w14:paraId="159E33F4" w14:textId="32F8E193" w:rsidR="0050659B" w:rsidRDefault="0050659B" w:rsidP="00270DB3">
      <w:pPr>
        <w:rPr>
          <w:rFonts w:ascii="Arial" w:hAnsi="Arial" w:cs="Arial"/>
          <w:b/>
          <w:sz w:val="18"/>
          <w:szCs w:val="16"/>
        </w:rPr>
      </w:pPr>
    </w:p>
    <w:p w14:paraId="69C96FFF" w14:textId="75D03B7F" w:rsidR="00D8513A" w:rsidRPr="00B244B9" w:rsidRDefault="00D8513A" w:rsidP="00270DB3">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index)</w:t>
      </w:r>
      <w:r w:rsidR="000374D7" w:rsidRPr="00B244B9">
        <w:rPr>
          <w:rFonts w:ascii="Arial" w:hAnsi="Arial" w:cs="Arial"/>
          <w:i/>
          <w:color w:val="1D1D1B"/>
          <w:w w:val="105"/>
          <w:sz w:val="18"/>
          <w:szCs w:val="16"/>
        </w:rPr>
        <w:t xml:space="preserve">. Více informací najdete též na webu </w:t>
      </w:r>
      <w:r w:rsidR="00C42FAF" w:rsidRPr="00C42FAF">
        <w:rPr>
          <w:rStyle w:val="Hypertextovodkaz"/>
          <w:rFonts w:ascii="Arial" w:hAnsi="Arial" w:cs="Arial"/>
          <w:i/>
          <w:w w:val="105"/>
          <w:sz w:val="18"/>
          <w:szCs w:val="16"/>
        </w:rPr>
        <w:t>https://www.bcas.cz/onas/pro-media/</w:t>
      </w:r>
      <w:r w:rsidR="000374D7" w:rsidRPr="00B244B9">
        <w:rPr>
          <w:rFonts w:ascii="Arial" w:hAnsi="Arial" w:cs="Arial"/>
          <w:i/>
          <w:color w:val="1D1D1B"/>
          <w:w w:val="105"/>
          <w:sz w:val="18"/>
          <w:szCs w:val="16"/>
        </w:rPr>
        <w:t xml:space="preserve">. </w:t>
      </w:r>
    </w:p>
    <w:p w14:paraId="6FDA875D" w14:textId="70EC54A7" w:rsidR="00B65A3B" w:rsidRPr="0025264B" w:rsidRDefault="00B65A3B" w:rsidP="0025264B"/>
    <w:p w14:paraId="082B0F80" w14:textId="77777777" w:rsidR="003A4014" w:rsidRDefault="003A4014" w:rsidP="0025264B">
      <w:pPr>
        <w:rPr>
          <w:rFonts w:ascii="Arial" w:hAnsi="Arial" w:cs="Arial"/>
          <w:b/>
          <w:sz w:val="18"/>
        </w:rPr>
      </w:pPr>
    </w:p>
    <w:p w14:paraId="141AA2FF" w14:textId="77777777" w:rsidR="003A4014" w:rsidRDefault="003A4014" w:rsidP="0025264B">
      <w:pPr>
        <w:rPr>
          <w:rFonts w:ascii="Arial" w:hAnsi="Arial" w:cs="Arial"/>
          <w:b/>
          <w:sz w:val="18"/>
        </w:rPr>
      </w:pPr>
    </w:p>
    <w:p w14:paraId="5FB7B133" w14:textId="77777777" w:rsidR="003A4014" w:rsidRDefault="003A4014" w:rsidP="0025264B">
      <w:pPr>
        <w:rPr>
          <w:rFonts w:ascii="Arial" w:hAnsi="Arial" w:cs="Arial"/>
          <w:b/>
          <w:sz w:val="18"/>
        </w:rPr>
      </w:pPr>
    </w:p>
    <w:p w14:paraId="53A2BEBA" w14:textId="5A3CDE1B" w:rsidR="003A4014" w:rsidRDefault="003A4014" w:rsidP="0025264B">
      <w:pPr>
        <w:rPr>
          <w:rFonts w:ascii="Arial" w:hAnsi="Arial" w:cs="Arial"/>
          <w:b/>
          <w:sz w:val="18"/>
        </w:rPr>
      </w:pPr>
    </w:p>
    <w:p w14:paraId="2032A21D" w14:textId="766192B3" w:rsidR="003A4014" w:rsidRDefault="003A4014" w:rsidP="0025264B">
      <w:pPr>
        <w:rPr>
          <w:rFonts w:ascii="Arial" w:hAnsi="Arial" w:cs="Arial"/>
          <w:b/>
          <w:sz w:val="18"/>
        </w:rPr>
      </w:pPr>
    </w:p>
    <w:p w14:paraId="7F36B4B3" w14:textId="6C218D38" w:rsidR="003A4014" w:rsidRDefault="00AF6C34" w:rsidP="0025264B">
      <w:pPr>
        <w:rPr>
          <w:rFonts w:ascii="Arial" w:hAnsi="Arial" w:cs="Arial"/>
          <w:b/>
          <w:sz w:val="18"/>
        </w:rPr>
      </w:pPr>
      <w:r>
        <w:rPr>
          <w:noProof/>
          <w:lang w:bidi="ar-SA"/>
        </w:rPr>
        <w:drawing>
          <wp:anchor distT="0" distB="0" distL="114300" distR="114300" simplePos="0" relativeHeight="251660288" behindDoc="1" locked="0" layoutInCell="1" allowOverlap="1" wp14:anchorId="70DB4E98" wp14:editId="3C3EB3E5">
            <wp:simplePos x="0" y="0"/>
            <wp:positionH relativeFrom="margin">
              <wp:posOffset>192104</wp:posOffset>
            </wp:positionH>
            <wp:positionV relativeFrom="paragraph">
              <wp:posOffset>22994</wp:posOffset>
            </wp:positionV>
            <wp:extent cx="6210300" cy="2562225"/>
            <wp:effectExtent l="19050" t="19050" r="19050" b="28575"/>
            <wp:wrapTight wrapText="bothSides">
              <wp:wrapPolygon edited="0">
                <wp:start x="-66" y="-161"/>
                <wp:lineTo x="-66" y="21680"/>
                <wp:lineTo x="21600" y="21680"/>
                <wp:lineTo x="21600" y="-161"/>
                <wp:lineTo x="-66" y="-161"/>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660" t="20415" r="51885" b="18748"/>
                    <a:stretch/>
                  </pic:blipFill>
                  <pic:spPr bwMode="auto">
                    <a:xfrm>
                      <a:off x="0" y="0"/>
                      <a:ext cx="6210300" cy="25622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95EC4" w14:textId="77777777" w:rsidR="003A4014" w:rsidRDefault="003A4014" w:rsidP="0025264B">
      <w:pPr>
        <w:rPr>
          <w:rFonts w:ascii="Arial" w:hAnsi="Arial" w:cs="Arial"/>
          <w:b/>
          <w:sz w:val="18"/>
        </w:rPr>
      </w:pPr>
    </w:p>
    <w:p w14:paraId="04836DFC" w14:textId="4F626E31" w:rsidR="00D31127" w:rsidRPr="00347557" w:rsidRDefault="00C42FAF" w:rsidP="0025264B">
      <w:pPr>
        <w:rPr>
          <w:rFonts w:ascii="Arial" w:hAnsi="Arial" w:cs="Arial"/>
          <w:b/>
          <w:sz w:val="18"/>
        </w:rPr>
      </w:pPr>
      <w:bookmarkStart w:id="0" w:name="_GoBack"/>
      <w:bookmarkEnd w:id="0"/>
      <w:r>
        <w:rPr>
          <w:rFonts w:ascii="Arial" w:hAnsi="Arial" w:cs="Arial"/>
          <w:b/>
          <w:sz w:val="18"/>
        </w:rPr>
        <w:t>Proč je dobré I</w:t>
      </w:r>
      <w:r w:rsidR="009F2CB2" w:rsidRPr="00347557">
        <w:rPr>
          <w:rFonts w:ascii="Arial" w:hAnsi="Arial" w:cs="Arial"/>
          <w:b/>
          <w:sz w:val="18"/>
        </w:rPr>
        <w:t>ndex sledovat</w:t>
      </w:r>
    </w:p>
    <w:p w14:paraId="411EFEF0" w14:textId="000524F8" w:rsidR="00D31127" w:rsidRPr="009F59EE" w:rsidRDefault="009F2CB2" w:rsidP="00241313">
      <w:pPr>
        <w:rPr>
          <w:sz w:val="20"/>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w:t>
      </w:r>
      <w:r w:rsidR="00347557" w:rsidRPr="00347557">
        <w:rPr>
          <w:rFonts w:ascii="Arial" w:hAnsi="Arial" w:cs="Arial"/>
          <w:sz w:val="18"/>
        </w:rPr>
        <w:t> </w:t>
      </w:r>
      <w:r w:rsidRPr="00347557">
        <w:rPr>
          <w:rFonts w:ascii="Arial" w:hAnsi="Arial" w:cs="Arial"/>
          <w:sz w:val="18"/>
        </w:rPr>
        <w:t>bance</w:t>
      </w:r>
      <w:r w:rsidR="00347557" w:rsidRPr="00347557">
        <w:rPr>
          <w:rFonts w:ascii="Arial" w:hAnsi="Arial" w:cs="Arial"/>
          <w:sz w:val="18"/>
        </w:rPr>
        <w:t>,</w:t>
      </w:r>
      <w:r w:rsidRPr="00347557">
        <w:rPr>
          <w:rFonts w:ascii="Arial" w:hAnsi="Arial" w:cs="Arial"/>
          <w:sz w:val="18"/>
        </w:rPr>
        <w:t xml:space="preserve"> nebo v nebankovní instituci a úroková sazba je výrazněji vyšší než aktuální index, je potřeba zpozornět.</w:t>
      </w:r>
      <w:r w:rsidR="009F59EE">
        <w:rPr>
          <w:sz w:val="20"/>
        </w:rPr>
        <w:tab/>
      </w:r>
    </w:p>
    <w:sectPr w:rsidR="00D31127" w:rsidRPr="009F59EE" w:rsidSect="0050659B">
      <w:type w:val="continuous"/>
      <w:pgSz w:w="11910" w:h="16840"/>
      <w:pgMar w:top="960" w:right="740" w:bottom="2127" w:left="720" w:header="708" w:footer="21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C3606" w14:textId="77777777" w:rsidR="0013585B" w:rsidRDefault="0013585B">
      <w:r>
        <w:separator/>
      </w:r>
    </w:p>
  </w:endnote>
  <w:endnote w:type="continuationSeparator" w:id="0">
    <w:p w14:paraId="73A87325" w14:textId="77777777" w:rsidR="0013585B" w:rsidRDefault="00135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F015TEE">
    <w:altName w:val="Times New Roman"/>
    <w:charset w:val="00"/>
    <w:family w:val="auto"/>
    <w:pitch w:val="variable"/>
    <w:sig w:usb0="00000001" w:usb1="00002048" w:usb2="00000000" w:usb3="00000000" w:csb0="0000008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9264"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77777777" w:rsidR="00D80B6D" w:rsidRPr="00E95698" w:rsidRDefault="0013585B" w:rsidP="00E95698">
                          <w:pPr>
                            <w:pStyle w:val="Zkladntext"/>
                            <w:spacing w:before="16"/>
                            <w:ind w:left="20"/>
                            <w:rPr>
                              <w:rFonts w:ascii="Arial" w:hAnsi="Arial" w:cs="Arial"/>
                              <w:b/>
                              <w:sz w:val="20"/>
                            </w:rPr>
                          </w:pPr>
                          <w:hyperlink r:id="rId1">
                            <w:r w:rsidR="00D80B6D" w:rsidRPr="00E95698">
                              <w:rPr>
                                <w:rFonts w:ascii="Arial" w:hAnsi="Arial" w:cs="Arial"/>
                                <w:b/>
                                <w:color w:val="FFFFFF"/>
                                <w:sz w:val="20"/>
                              </w:rPr>
                              <w:t>www.okrealitnisluzby.cz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77777777" w:rsidR="00D80B6D" w:rsidRPr="00E95698" w:rsidRDefault="0013585B" w:rsidP="00E95698">
                    <w:pPr>
                      <w:pStyle w:val="Zkladntext"/>
                      <w:spacing w:before="16"/>
                      <w:ind w:left="20"/>
                      <w:rPr>
                        <w:rFonts w:ascii="Arial" w:hAnsi="Arial" w:cs="Arial"/>
                        <w:b/>
                        <w:sz w:val="20"/>
                      </w:rPr>
                    </w:pPr>
                    <w:hyperlink r:id="rId2">
                      <w:r w:rsidR="00D80B6D" w:rsidRPr="00E95698">
                        <w:rPr>
                          <w:rFonts w:ascii="Arial" w:hAnsi="Arial" w:cs="Arial"/>
                          <w:b/>
                          <w:color w:val="FFFFFF"/>
                          <w:sz w:val="20"/>
                        </w:rPr>
                        <w:t>www.okrealitnisluzby.cz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13585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13585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13585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13585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3120"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0EC04" id="Rectangle 4" o:spid="_x0000_s1026" style="position:absolute;margin-left:0;margin-top:814.9pt;width:595.3pt;height:25.1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6FAD9" w14:textId="77777777" w:rsidR="00E17539" w:rsidRDefault="00E17539">
    <w:pPr>
      <w:pStyle w:val="Zpat"/>
      <w:rPr>
        <w:rFonts w:ascii="Arial" w:hAnsi="Arial" w:cs="Arial"/>
        <w:color w:val="1D1D1B"/>
        <w:sz w:val="18"/>
        <w:szCs w:val="18"/>
      </w:rPr>
    </w:pPr>
    <w:r w:rsidRPr="00E17539">
      <w:rPr>
        <w:rFonts w:ascii="Arial" w:hAnsi="Arial" w:cs="Arial"/>
        <w:color w:val="1D1D1B"/>
        <w:sz w:val="18"/>
        <w:szCs w:val="18"/>
      </w:rPr>
      <w:t xml:space="preserve">V případě </w:t>
    </w:r>
    <w:r w:rsidRPr="00E17539">
      <w:rPr>
        <w:rFonts w:ascii="Arial" w:hAnsi="Arial" w:cs="Arial"/>
        <w:color w:val="1D1D1B"/>
        <w:spacing w:val="-3"/>
        <w:sz w:val="18"/>
        <w:szCs w:val="18"/>
      </w:rPr>
      <w:t xml:space="preserve">zájmu </w:t>
    </w:r>
    <w:r w:rsidRPr="00E17539">
      <w:rPr>
        <w:rFonts w:ascii="Arial" w:hAnsi="Arial" w:cs="Arial"/>
        <w:color w:val="1D1D1B"/>
        <w:sz w:val="18"/>
        <w:szCs w:val="18"/>
      </w:rPr>
      <w:t xml:space="preserve">o další </w:t>
    </w:r>
    <w:r w:rsidRPr="00E17539">
      <w:rPr>
        <w:rFonts w:ascii="Arial" w:hAnsi="Arial" w:cs="Arial"/>
        <w:color w:val="1D1D1B"/>
        <w:spacing w:val="-3"/>
        <w:sz w:val="18"/>
        <w:szCs w:val="18"/>
      </w:rPr>
      <w:t xml:space="preserve">komentáře, </w:t>
    </w:r>
    <w:r w:rsidRPr="00E17539">
      <w:rPr>
        <w:rFonts w:ascii="Arial" w:hAnsi="Arial" w:cs="Arial"/>
        <w:color w:val="1D1D1B"/>
        <w:sz w:val="18"/>
        <w:szCs w:val="18"/>
      </w:rPr>
      <w:t xml:space="preserve">doplnění či </w:t>
    </w:r>
    <w:r w:rsidR="00D8513A">
      <w:rPr>
        <w:rFonts w:ascii="Arial" w:hAnsi="Arial" w:cs="Arial"/>
        <w:color w:val="1D1D1B"/>
        <w:sz w:val="18"/>
        <w:szCs w:val="18"/>
      </w:rPr>
      <w:t>další dotazy</w:t>
    </w:r>
    <w:r w:rsidRPr="00E17539">
      <w:rPr>
        <w:rFonts w:ascii="Arial" w:hAnsi="Arial" w:cs="Arial"/>
        <w:color w:val="1D1D1B"/>
        <w:sz w:val="18"/>
        <w:szCs w:val="18"/>
      </w:rPr>
      <w:t xml:space="preserve"> se neváhejte ozvat na níže uvedené kontakty</w:t>
    </w:r>
    <w:r w:rsidR="00D8513A">
      <w:rPr>
        <w:rFonts w:ascii="Arial" w:hAnsi="Arial" w:cs="Arial"/>
        <w:color w:val="1D1D1B"/>
        <w:sz w:val="18"/>
        <w:szCs w:val="18"/>
      </w:rPr>
      <w:t xml:space="preserve"> Broker Consulting:</w:t>
    </w:r>
  </w:p>
  <w:p w14:paraId="19D1FF72" w14:textId="77777777" w:rsidR="00D8513A" w:rsidRPr="00E17539" w:rsidRDefault="00D8513A">
    <w:pPr>
      <w:pStyle w:val="Zpat"/>
      <w:rPr>
        <w:rFonts w:ascii="Arial" w:hAnsi="Arial" w:cs="Arial"/>
        <w:color w:val="1D1D1B"/>
        <w:sz w:val="18"/>
        <w:szCs w:val="18"/>
      </w:rPr>
    </w:pPr>
  </w:p>
  <w:p w14:paraId="28417D20" w14:textId="77777777" w:rsidR="00E17539" w:rsidRPr="00D8513A" w:rsidRDefault="00D8513A" w:rsidP="00D8513A">
    <w:pPr>
      <w:spacing w:line="268" w:lineRule="auto"/>
      <w:ind w:left="720" w:right="38" w:firstLine="273"/>
      <w:rPr>
        <w:rFonts w:ascii="Arial" w:hAnsi="Arial" w:cs="Arial"/>
        <w:b/>
        <w:color w:val="1D1D1B"/>
        <w:sz w:val="18"/>
        <w:szCs w:val="18"/>
      </w:rPr>
    </w:pPr>
    <w:r w:rsidRPr="00D8513A">
      <w:rPr>
        <w:rFonts w:ascii="Arial" w:hAnsi="Arial" w:cs="Arial"/>
        <w:b/>
        <w:noProof/>
        <w:sz w:val="18"/>
        <w:szCs w:val="18"/>
        <w:lang w:bidi="ar-SA"/>
      </w:rPr>
      <w:drawing>
        <wp:anchor distT="0" distB="0" distL="0" distR="0" simplePos="0" relativeHeight="251649024" behindDoc="0" locked="0" layoutInCell="1" allowOverlap="1" wp14:anchorId="063635B8" wp14:editId="68B794F4">
          <wp:simplePos x="0" y="0"/>
          <wp:positionH relativeFrom="page">
            <wp:posOffset>2580005</wp:posOffset>
          </wp:positionH>
          <wp:positionV relativeFrom="paragraph">
            <wp:posOffset>11430</wp:posOffset>
          </wp:positionV>
          <wp:extent cx="575945" cy="575945"/>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 cstate="print"/>
                  <a:stretch>
                    <a:fillRect/>
                  </a:stretch>
                </pic:blipFill>
                <pic:spPr>
                  <a:xfrm>
                    <a:off x="0" y="0"/>
                    <a:ext cx="575945" cy="575945"/>
                  </a:xfrm>
                  <a:prstGeom prst="rect">
                    <a:avLst/>
                  </a:prstGeom>
                </pic:spPr>
              </pic:pic>
            </a:graphicData>
          </a:graphic>
        </wp:anchor>
      </w:drawing>
    </w:r>
    <w:r w:rsidRPr="00D8513A">
      <w:rPr>
        <w:rFonts w:ascii="Arial" w:hAnsi="Arial" w:cs="Arial"/>
        <w:noProof/>
        <w:sz w:val="18"/>
        <w:szCs w:val="18"/>
        <w:lang w:bidi="ar-SA"/>
      </w:rPr>
      <w:drawing>
        <wp:anchor distT="0" distB="0" distL="0" distR="0" simplePos="0" relativeHeight="251651072" behindDoc="0" locked="0" layoutInCell="1" allowOverlap="1" wp14:anchorId="65DA4EEC" wp14:editId="03129E5D">
          <wp:simplePos x="0" y="0"/>
          <wp:positionH relativeFrom="page">
            <wp:posOffset>4879340</wp:posOffset>
          </wp:positionH>
          <wp:positionV relativeFrom="paragraph">
            <wp:posOffset>1905</wp:posOffset>
          </wp:positionV>
          <wp:extent cx="575945" cy="575945"/>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 cstate="print"/>
                  <a:stretch>
                    <a:fillRect/>
                  </a:stretch>
                </pic:blipFill>
                <pic:spPr>
                  <a:xfrm>
                    <a:off x="0" y="0"/>
                    <a:ext cx="575945" cy="575945"/>
                  </a:xfrm>
                  <a:prstGeom prst="rect">
                    <a:avLst/>
                  </a:prstGeom>
                </pic:spPr>
              </pic:pic>
            </a:graphicData>
          </a:graphic>
        </wp:anchor>
      </w:drawing>
    </w:r>
    <w:r w:rsidRPr="00D8513A">
      <w:rPr>
        <w:rFonts w:ascii="Arial" w:hAnsi="Arial" w:cs="Arial"/>
        <w:b/>
        <w:noProof/>
        <w:sz w:val="18"/>
        <w:szCs w:val="18"/>
        <w:lang w:bidi="ar-SA"/>
      </w:rPr>
      <w:drawing>
        <wp:anchor distT="0" distB="0" distL="0" distR="0" simplePos="0" relativeHeight="251646976" behindDoc="0" locked="0" layoutInCell="1" allowOverlap="1" wp14:anchorId="7C51F51A" wp14:editId="6F34E3CD">
          <wp:simplePos x="0" y="0"/>
          <wp:positionH relativeFrom="margin">
            <wp:align>left</wp:align>
          </wp:positionH>
          <wp:positionV relativeFrom="paragraph">
            <wp:posOffset>8890</wp:posOffset>
          </wp:positionV>
          <wp:extent cx="575945" cy="575945"/>
          <wp:effectExtent l="0" t="0" r="0" b="0"/>
          <wp:wrapNone/>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3" cstate="print"/>
                  <a:stretch>
                    <a:fillRect/>
                  </a:stretch>
                </pic:blipFill>
                <pic:spPr>
                  <a:xfrm>
                    <a:off x="0" y="0"/>
                    <a:ext cx="575945" cy="575945"/>
                  </a:xfrm>
                  <a:prstGeom prst="rect">
                    <a:avLst/>
                  </a:prstGeom>
                </pic:spPr>
              </pic:pic>
            </a:graphicData>
          </a:graphic>
        </wp:anchor>
      </w:drawing>
    </w:r>
    <w:r w:rsidR="00E17539" w:rsidRPr="00D8513A">
      <w:rPr>
        <w:rFonts w:ascii="Arial" w:hAnsi="Arial" w:cs="Arial"/>
        <w:b/>
        <w:color w:val="1D1D1B"/>
        <w:sz w:val="18"/>
        <w:szCs w:val="18"/>
      </w:rPr>
      <w:t xml:space="preserve">Jan Lener </w:t>
    </w:r>
    <w:r w:rsidR="00E17539" w:rsidRPr="00D8513A">
      <w:rPr>
        <w:rFonts w:ascii="Arial" w:hAnsi="Arial" w:cs="Arial"/>
        <w:b/>
        <w:color w:val="1D1D1B"/>
        <w:sz w:val="18"/>
        <w:szCs w:val="18"/>
      </w:rPr>
      <w:tab/>
    </w:r>
    <w:r w:rsidR="00E17539" w:rsidRPr="00D8513A">
      <w:rPr>
        <w:rFonts w:ascii="Arial" w:hAnsi="Arial" w:cs="Arial"/>
        <w:b/>
        <w:color w:val="1D1D1B"/>
        <w:sz w:val="18"/>
        <w:szCs w:val="18"/>
      </w:rPr>
      <w:tab/>
    </w:r>
    <w:r w:rsidR="00E17539" w:rsidRPr="00D8513A">
      <w:rPr>
        <w:rFonts w:ascii="Arial" w:hAnsi="Arial" w:cs="Arial"/>
        <w:b/>
        <w:color w:val="1D1D1B"/>
        <w:sz w:val="18"/>
        <w:szCs w:val="18"/>
      </w:rPr>
      <w:tab/>
    </w:r>
    <w:r w:rsidR="00E17539" w:rsidRPr="00D8513A">
      <w:rPr>
        <w:rFonts w:ascii="Arial" w:hAnsi="Arial" w:cs="Arial"/>
        <w:b/>
        <w:color w:val="1D1D1B"/>
        <w:sz w:val="18"/>
        <w:szCs w:val="18"/>
      </w:rPr>
      <w:tab/>
      <w:t>Viola Baštýřová</w:t>
    </w:r>
    <w:r w:rsidRPr="00D8513A">
      <w:rPr>
        <w:rFonts w:ascii="F015TEEMed" w:hAnsi="F015TEEMed"/>
        <w:color w:val="1D1D1B"/>
      </w:rPr>
      <w:t xml:space="preserve"> </w:t>
    </w:r>
    <w:r>
      <w:rPr>
        <w:rFonts w:ascii="F015TEEMed" w:hAnsi="F015TEEMed"/>
        <w:color w:val="1D1D1B"/>
      </w:rPr>
      <w:tab/>
    </w:r>
    <w:r>
      <w:rPr>
        <w:rFonts w:ascii="F015TEEMed" w:hAnsi="F015TEEMed"/>
        <w:color w:val="1D1D1B"/>
      </w:rPr>
      <w:tab/>
    </w:r>
    <w:r>
      <w:rPr>
        <w:rFonts w:ascii="F015TEEMed" w:hAnsi="F015TEEMed"/>
        <w:color w:val="1D1D1B"/>
      </w:rPr>
      <w:tab/>
    </w:r>
    <w:r>
      <w:rPr>
        <w:rFonts w:ascii="F015TEEMed" w:hAnsi="F015TEEMed"/>
        <w:color w:val="1D1D1B"/>
      </w:rPr>
      <w:tab/>
    </w:r>
    <w:r w:rsidRPr="00D8513A">
      <w:rPr>
        <w:rFonts w:ascii="Arial" w:hAnsi="Arial" w:cs="Arial"/>
        <w:b/>
        <w:color w:val="1D1D1B"/>
        <w:sz w:val="18"/>
        <w:szCs w:val="18"/>
      </w:rPr>
      <w:t>Martin Novák</w:t>
    </w:r>
  </w:p>
  <w:p w14:paraId="7369FDC1" w14:textId="77777777" w:rsidR="00E17539" w:rsidRPr="00D8513A" w:rsidRDefault="00E17539" w:rsidP="00D8513A">
    <w:pPr>
      <w:spacing w:line="268" w:lineRule="auto"/>
      <w:ind w:left="720" w:right="38" w:firstLine="273"/>
      <w:rPr>
        <w:rFonts w:ascii="Arial" w:hAnsi="Arial" w:cs="Arial"/>
        <w:color w:val="1D1D1B"/>
        <w:sz w:val="18"/>
        <w:szCs w:val="18"/>
      </w:rPr>
    </w:pPr>
    <w:r w:rsidRPr="00D8513A">
      <w:rPr>
        <w:rFonts w:ascii="Arial" w:hAnsi="Arial" w:cs="Arial"/>
        <w:color w:val="1D1D1B"/>
        <w:sz w:val="18"/>
        <w:szCs w:val="18"/>
      </w:rPr>
      <w:t>ředitel komunikace a PR</w:t>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pacing w:val="-4"/>
        <w:sz w:val="18"/>
        <w:szCs w:val="18"/>
      </w:rPr>
      <w:t>specialistka</w:t>
    </w:r>
    <w:r w:rsidR="00D8513A">
      <w:rPr>
        <w:rFonts w:ascii="Arial" w:hAnsi="Arial" w:cs="Arial"/>
        <w:color w:val="1D1D1B"/>
        <w:spacing w:val="-4"/>
        <w:sz w:val="18"/>
        <w:szCs w:val="18"/>
      </w:rPr>
      <w:t xml:space="preserve"> externí</w:t>
    </w:r>
    <w:r w:rsidRPr="00D8513A">
      <w:rPr>
        <w:rFonts w:ascii="Arial" w:hAnsi="Arial" w:cs="Arial"/>
        <w:color w:val="1D1D1B"/>
        <w:spacing w:val="-4"/>
        <w:sz w:val="18"/>
        <w:szCs w:val="18"/>
      </w:rPr>
      <w:t xml:space="preserve"> </w:t>
    </w:r>
    <w:r w:rsidRPr="00D8513A">
      <w:rPr>
        <w:rFonts w:ascii="Arial" w:hAnsi="Arial" w:cs="Arial"/>
        <w:color w:val="1D1D1B"/>
        <w:spacing w:val="-5"/>
        <w:sz w:val="18"/>
        <w:szCs w:val="18"/>
      </w:rPr>
      <w:t>komunikace</w:t>
    </w:r>
    <w:r w:rsidR="00D8513A" w:rsidRPr="00D8513A">
      <w:rPr>
        <w:rFonts w:ascii="Arial" w:hAnsi="Arial" w:cs="Arial"/>
        <w:color w:val="1D1D1B"/>
        <w:spacing w:val="-5"/>
        <w:sz w:val="18"/>
        <w:szCs w:val="18"/>
      </w:rPr>
      <w:tab/>
    </w:r>
    <w:r w:rsidR="00D8513A" w:rsidRPr="00D8513A">
      <w:rPr>
        <w:rFonts w:ascii="Arial" w:hAnsi="Arial" w:cs="Arial"/>
        <w:color w:val="1D1D1B"/>
        <w:spacing w:val="-5"/>
        <w:sz w:val="18"/>
        <w:szCs w:val="18"/>
      </w:rPr>
      <w:tab/>
      <w:t>hlavní analytik</w:t>
    </w:r>
  </w:p>
  <w:p w14:paraId="4438B9BE" w14:textId="77777777" w:rsidR="00D8513A" w:rsidRPr="00D8513A" w:rsidRDefault="00E17539" w:rsidP="00D8513A">
    <w:pPr>
      <w:spacing w:before="25"/>
      <w:ind w:left="273" w:firstLine="720"/>
      <w:rPr>
        <w:rFonts w:ascii="Arial" w:hAnsi="Arial" w:cs="Arial"/>
        <w:sz w:val="18"/>
        <w:szCs w:val="18"/>
      </w:rPr>
    </w:pPr>
    <w:r w:rsidRPr="00D8513A">
      <w:rPr>
        <w:rFonts w:ascii="Arial" w:hAnsi="Arial" w:cs="Arial"/>
        <w:color w:val="1D1D1B"/>
        <w:sz w:val="18"/>
        <w:szCs w:val="18"/>
      </w:rPr>
      <w:t>608 770</w:t>
    </w:r>
    <w:r w:rsidRPr="00D8513A">
      <w:rPr>
        <w:rFonts w:ascii="Arial" w:hAnsi="Arial" w:cs="Arial"/>
        <w:color w:val="1D1D1B"/>
        <w:spacing w:val="-6"/>
        <w:sz w:val="18"/>
        <w:szCs w:val="18"/>
      </w:rPr>
      <w:t> </w:t>
    </w:r>
    <w:r w:rsidRPr="00D8513A">
      <w:rPr>
        <w:rFonts w:ascii="Arial" w:hAnsi="Arial" w:cs="Arial"/>
        <w:color w:val="1D1D1B"/>
        <w:spacing w:val="-3"/>
        <w:sz w:val="18"/>
        <w:szCs w:val="18"/>
      </w:rPr>
      <w:t>955</w:t>
    </w:r>
    <w:r w:rsidRPr="00D8513A">
      <w:rPr>
        <w:rFonts w:ascii="Arial" w:hAnsi="Arial" w:cs="Arial"/>
        <w:color w:val="1D1D1B"/>
        <w:sz w:val="18"/>
        <w:szCs w:val="18"/>
      </w:rPr>
      <w:t xml:space="preserve"> </w:t>
    </w:r>
    <w:r w:rsidRPr="00D8513A">
      <w:rPr>
        <w:rFonts w:ascii="Arial" w:hAnsi="Arial" w:cs="Arial"/>
        <w:color w:val="1D1D1B"/>
        <w:sz w:val="18"/>
        <w:szCs w:val="18"/>
      </w:rPr>
      <w:tab/>
    </w:r>
    <w:r w:rsidRPr="00D8513A">
      <w:rPr>
        <w:rFonts w:ascii="Arial" w:hAnsi="Arial" w:cs="Arial"/>
        <w:color w:val="1D1D1B"/>
        <w:sz w:val="18"/>
        <w:szCs w:val="18"/>
      </w:rPr>
      <w:tab/>
    </w:r>
    <w:r w:rsidR="00D8513A"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pacing w:val="-3"/>
        <w:sz w:val="18"/>
        <w:szCs w:val="18"/>
      </w:rPr>
      <w:t xml:space="preserve">776 </w:t>
    </w:r>
    <w:r w:rsidRPr="00D8513A">
      <w:rPr>
        <w:rFonts w:ascii="Arial" w:hAnsi="Arial" w:cs="Arial"/>
        <w:color w:val="1D1D1B"/>
        <w:spacing w:val="-6"/>
        <w:sz w:val="18"/>
        <w:szCs w:val="18"/>
      </w:rPr>
      <w:t>210</w:t>
    </w:r>
    <w:r w:rsidR="00D8513A" w:rsidRPr="00D8513A">
      <w:rPr>
        <w:rFonts w:ascii="Arial" w:hAnsi="Arial" w:cs="Arial"/>
        <w:color w:val="1D1D1B"/>
        <w:spacing w:val="-6"/>
        <w:sz w:val="18"/>
        <w:szCs w:val="18"/>
      </w:rPr>
      <w:t> </w:t>
    </w:r>
    <w:r w:rsidRPr="00D8513A">
      <w:rPr>
        <w:rFonts w:ascii="Arial" w:hAnsi="Arial" w:cs="Arial"/>
        <w:color w:val="1D1D1B"/>
        <w:sz w:val="18"/>
        <w:szCs w:val="18"/>
      </w:rPr>
      <w:t>599</w:t>
    </w:r>
    <w:r w:rsidR="00D8513A" w:rsidRPr="00D8513A">
      <w:rPr>
        <w:rFonts w:ascii="Arial" w:hAnsi="Arial" w:cs="Arial"/>
        <w:color w:val="1D1D1B"/>
        <w:sz w:val="18"/>
        <w:szCs w:val="18"/>
      </w:rPr>
      <w:t xml:space="preserve"> </w:t>
    </w:r>
    <w:r w:rsidR="00D8513A" w:rsidRPr="00D8513A">
      <w:rPr>
        <w:rFonts w:ascii="Arial" w:hAnsi="Arial" w:cs="Arial"/>
        <w:color w:val="1D1D1B"/>
        <w:sz w:val="18"/>
        <w:szCs w:val="18"/>
      </w:rPr>
      <w:tab/>
    </w:r>
    <w:r w:rsidR="00D8513A" w:rsidRPr="00D8513A">
      <w:rPr>
        <w:rFonts w:ascii="Arial" w:hAnsi="Arial" w:cs="Arial"/>
        <w:color w:val="1D1D1B"/>
        <w:sz w:val="18"/>
        <w:szCs w:val="18"/>
      </w:rPr>
      <w:tab/>
    </w:r>
    <w:r w:rsidR="00D8513A" w:rsidRPr="00D8513A">
      <w:rPr>
        <w:rFonts w:ascii="Arial" w:hAnsi="Arial" w:cs="Arial"/>
        <w:color w:val="1D1D1B"/>
        <w:sz w:val="18"/>
        <w:szCs w:val="18"/>
      </w:rPr>
      <w:tab/>
    </w:r>
    <w:r w:rsidR="00D8513A" w:rsidRPr="00D8513A">
      <w:rPr>
        <w:rFonts w:ascii="Arial" w:hAnsi="Arial" w:cs="Arial"/>
        <w:color w:val="1D1D1B"/>
        <w:sz w:val="18"/>
        <w:szCs w:val="18"/>
      </w:rPr>
      <w:tab/>
      <w:t>731 537 220</w:t>
    </w:r>
  </w:p>
  <w:p w14:paraId="4F3A85C4" w14:textId="77777777" w:rsidR="00D8513A" w:rsidRPr="00D8513A" w:rsidRDefault="0013585B" w:rsidP="00D8513A">
    <w:pPr>
      <w:spacing w:line="220" w:lineRule="exact"/>
      <w:ind w:left="403" w:firstLine="590"/>
      <w:rPr>
        <w:rFonts w:ascii="Arial" w:hAnsi="Arial" w:cs="Arial"/>
        <w:sz w:val="18"/>
        <w:szCs w:val="18"/>
      </w:rPr>
    </w:pPr>
    <w:hyperlink r:id="rId4">
      <w:r w:rsidR="00E17539" w:rsidRPr="00D8513A">
        <w:rPr>
          <w:rFonts w:ascii="Arial" w:hAnsi="Arial" w:cs="Arial"/>
          <w:color w:val="1D1D1B"/>
          <w:sz w:val="18"/>
          <w:szCs w:val="18"/>
        </w:rPr>
        <w:t>jan.lener@bcas.cz</w:t>
      </w:r>
    </w:hyperlink>
    <w:r w:rsidR="00D8513A" w:rsidRPr="00D8513A">
      <w:rPr>
        <w:rFonts w:ascii="Arial" w:hAnsi="Arial" w:cs="Arial"/>
        <w:color w:val="1D1D1B"/>
        <w:sz w:val="18"/>
        <w:szCs w:val="18"/>
      </w:rPr>
      <w:t xml:space="preserve"> </w:t>
    </w:r>
    <w:r w:rsidR="00D8513A" w:rsidRPr="00D8513A">
      <w:rPr>
        <w:rFonts w:ascii="Arial" w:hAnsi="Arial" w:cs="Arial"/>
        <w:color w:val="1D1D1B"/>
        <w:sz w:val="18"/>
        <w:szCs w:val="18"/>
      </w:rPr>
      <w:tab/>
    </w:r>
    <w:r w:rsidR="00D8513A" w:rsidRPr="00D8513A">
      <w:rPr>
        <w:rFonts w:ascii="Arial" w:hAnsi="Arial" w:cs="Arial"/>
        <w:color w:val="1D1D1B"/>
        <w:sz w:val="18"/>
        <w:szCs w:val="18"/>
      </w:rPr>
      <w:tab/>
    </w:r>
    <w:r w:rsidR="00D8513A" w:rsidRPr="00D8513A">
      <w:rPr>
        <w:rFonts w:ascii="Arial" w:hAnsi="Arial" w:cs="Arial"/>
        <w:color w:val="1D1D1B"/>
        <w:sz w:val="18"/>
        <w:szCs w:val="18"/>
      </w:rPr>
      <w:tab/>
    </w:r>
    <w:hyperlink r:id="rId5">
      <w:r w:rsidR="00D8513A" w:rsidRPr="00D8513A">
        <w:rPr>
          <w:rFonts w:ascii="Arial" w:hAnsi="Arial" w:cs="Arial"/>
          <w:color w:val="1D1D1B"/>
          <w:sz w:val="18"/>
          <w:szCs w:val="18"/>
        </w:rPr>
        <w:t>viola.bastyrova@bcas.cz</w:t>
      </w:r>
    </w:hyperlink>
    <w:r w:rsidR="00D8513A" w:rsidRPr="00D8513A">
      <w:rPr>
        <w:rFonts w:ascii="Arial" w:hAnsi="Arial" w:cs="Arial"/>
        <w:color w:val="1D1D1B"/>
        <w:sz w:val="18"/>
        <w:szCs w:val="18"/>
      </w:rPr>
      <w:tab/>
    </w:r>
    <w:r w:rsidR="00D8513A" w:rsidRPr="00D8513A">
      <w:rPr>
        <w:rFonts w:ascii="Arial" w:hAnsi="Arial" w:cs="Arial"/>
        <w:color w:val="1D1D1B"/>
        <w:sz w:val="18"/>
        <w:szCs w:val="18"/>
      </w:rPr>
      <w:tab/>
    </w:r>
    <w:r w:rsidR="00D8513A" w:rsidRPr="00D8513A">
      <w:rPr>
        <w:rFonts w:ascii="Arial" w:hAnsi="Arial" w:cs="Arial"/>
        <w:color w:val="1D1D1B"/>
        <w:sz w:val="18"/>
        <w:szCs w:val="18"/>
      </w:rPr>
      <w:tab/>
      <w:t>martin.novak@bcas.cz</w:t>
    </w:r>
    <w:r w:rsidR="00D8513A" w:rsidRPr="00D8513A">
      <w:rPr>
        <w:rFonts w:ascii="Arial" w:hAnsi="Arial" w:cs="Arial"/>
        <w:color w:val="1D1D1B"/>
        <w:sz w:val="18"/>
        <w:szCs w:val="18"/>
      </w:rPr>
      <w:tab/>
    </w:r>
  </w:p>
  <w:p w14:paraId="132A7E95" w14:textId="77777777" w:rsidR="00E17539" w:rsidRPr="00D8513A" w:rsidRDefault="00E17539" w:rsidP="00D8513A">
    <w:pPr>
      <w:spacing w:line="233" w:lineRule="exact"/>
      <w:ind w:left="993"/>
      <w:rPr>
        <w:rFonts w:ascii="Arial" w:hAnsi="Arial" w:cs="Arial"/>
        <w:sz w:val="18"/>
        <w:szCs w:val="18"/>
      </w:rPr>
    </w:pPr>
  </w:p>
  <w:p w14:paraId="6046CD74" w14:textId="77777777" w:rsidR="00E17539" w:rsidRDefault="00E17539">
    <w:pPr>
      <w:pStyle w:val="Zpat"/>
    </w:pPr>
  </w:p>
  <w:p w14:paraId="1744C53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28647" w14:textId="77777777" w:rsidR="00241313" w:rsidRDefault="00241313" w:rsidP="00241313">
    <w:pPr>
      <w:pStyle w:val="Zpat"/>
      <w:rPr>
        <w:rFonts w:ascii="Arial" w:hAnsi="Arial" w:cs="Arial"/>
        <w:color w:val="1D1D1B"/>
        <w:sz w:val="18"/>
        <w:szCs w:val="18"/>
      </w:rPr>
    </w:pPr>
    <w:r w:rsidRPr="00E17539">
      <w:rPr>
        <w:rFonts w:ascii="Arial" w:hAnsi="Arial" w:cs="Arial"/>
        <w:color w:val="1D1D1B"/>
        <w:sz w:val="18"/>
        <w:szCs w:val="18"/>
      </w:rPr>
      <w:t xml:space="preserve">V případě </w:t>
    </w:r>
    <w:r w:rsidRPr="00E17539">
      <w:rPr>
        <w:rFonts w:ascii="Arial" w:hAnsi="Arial" w:cs="Arial"/>
        <w:color w:val="1D1D1B"/>
        <w:spacing w:val="-3"/>
        <w:sz w:val="18"/>
        <w:szCs w:val="18"/>
      </w:rPr>
      <w:t xml:space="preserve">zájmu </w:t>
    </w:r>
    <w:r w:rsidRPr="00E17539">
      <w:rPr>
        <w:rFonts w:ascii="Arial" w:hAnsi="Arial" w:cs="Arial"/>
        <w:color w:val="1D1D1B"/>
        <w:sz w:val="18"/>
        <w:szCs w:val="18"/>
      </w:rPr>
      <w:t xml:space="preserve">o další </w:t>
    </w:r>
    <w:r w:rsidRPr="00E17539">
      <w:rPr>
        <w:rFonts w:ascii="Arial" w:hAnsi="Arial" w:cs="Arial"/>
        <w:color w:val="1D1D1B"/>
        <w:spacing w:val="-3"/>
        <w:sz w:val="18"/>
        <w:szCs w:val="18"/>
      </w:rPr>
      <w:t xml:space="preserve">komentáře, </w:t>
    </w:r>
    <w:r w:rsidRPr="00E17539">
      <w:rPr>
        <w:rFonts w:ascii="Arial" w:hAnsi="Arial" w:cs="Arial"/>
        <w:color w:val="1D1D1B"/>
        <w:sz w:val="18"/>
        <w:szCs w:val="18"/>
      </w:rPr>
      <w:t xml:space="preserve">doplnění či </w:t>
    </w:r>
    <w:r>
      <w:rPr>
        <w:rFonts w:ascii="Arial" w:hAnsi="Arial" w:cs="Arial"/>
        <w:color w:val="1D1D1B"/>
        <w:sz w:val="18"/>
        <w:szCs w:val="18"/>
      </w:rPr>
      <w:t>další dotazy</w:t>
    </w:r>
    <w:r w:rsidRPr="00E17539">
      <w:rPr>
        <w:rFonts w:ascii="Arial" w:hAnsi="Arial" w:cs="Arial"/>
        <w:color w:val="1D1D1B"/>
        <w:sz w:val="18"/>
        <w:szCs w:val="18"/>
      </w:rPr>
      <w:t xml:space="preserve"> se neváhejte ozvat na níže uvedené kontakty</w:t>
    </w:r>
    <w:r>
      <w:rPr>
        <w:rFonts w:ascii="Arial" w:hAnsi="Arial" w:cs="Arial"/>
        <w:color w:val="1D1D1B"/>
        <w:sz w:val="18"/>
        <w:szCs w:val="18"/>
      </w:rPr>
      <w:t xml:space="preserve"> Broker Consulting:</w:t>
    </w:r>
  </w:p>
  <w:p w14:paraId="47360F75" w14:textId="77777777" w:rsidR="00241313" w:rsidRPr="00E17539" w:rsidRDefault="00241313" w:rsidP="00241313">
    <w:pPr>
      <w:pStyle w:val="Zpat"/>
      <w:rPr>
        <w:rFonts w:ascii="Arial" w:hAnsi="Arial" w:cs="Arial"/>
        <w:color w:val="1D1D1B"/>
        <w:sz w:val="18"/>
        <w:szCs w:val="18"/>
      </w:rPr>
    </w:pPr>
  </w:p>
  <w:p w14:paraId="7FFBE825" w14:textId="77777777" w:rsidR="00241313" w:rsidRPr="00D8513A" w:rsidRDefault="00241313" w:rsidP="00241313">
    <w:pPr>
      <w:spacing w:line="268" w:lineRule="auto"/>
      <w:ind w:left="720" w:right="38" w:firstLine="273"/>
      <w:rPr>
        <w:rFonts w:ascii="Arial" w:hAnsi="Arial" w:cs="Arial"/>
        <w:b/>
        <w:color w:val="1D1D1B"/>
        <w:sz w:val="18"/>
        <w:szCs w:val="18"/>
      </w:rPr>
    </w:pPr>
    <w:r w:rsidRPr="00D8513A">
      <w:rPr>
        <w:rFonts w:ascii="Arial" w:hAnsi="Arial" w:cs="Arial"/>
        <w:b/>
        <w:noProof/>
        <w:sz w:val="18"/>
        <w:szCs w:val="18"/>
        <w:lang w:bidi="ar-SA"/>
      </w:rPr>
      <w:drawing>
        <wp:anchor distT="0" distB="0" distL="0" distR="0" simplePos="0" relativeHeight="251671552" behindDoc="0" locked="0" layoutInCell="1" allowOverlap="1" wp14:anchorId="61AFC429" wp14:editId="2F053642">
          <wp:simplePos x="0" y="0"/>
          <wp:positionH relativeFrom="page">
            <wp:posOffset>2580005</wp:posOffset>
          </wp:positionH>
          <wp:positionV relativeFrom="paragraph">
            <wp:posOffset>11430</wp:posOffset>
          </wp:positionV>
          <wp:extent cx="575945" cy="575945"/>
          <wp:effectExtent l="0" t="0" r="0" b="0"/>
          <wp:wrapNone/>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 cstate="print"/>
                  <a:stretch>
                    <a:fillRect/>
                  </a:stretch>
                </pic:blipFill>
                <pic:spPr>
                  <a:xfrm>
                    <a:off x="0" y="0"/>
                    <a:ext cx="575945" cy="575945"/>
                  </a:xfrm>
                  <a:prstGeom prst="rect">
                    <a:avLst/>
                  </a:prstGeom>
                </pic:spPr>
              </pic:pic>
            </a:graphicData>
          </a:graphic>
        </wp:anchor>
      </w:drawing>
    </w:r>
    <w:r w:rsidRPr="00D8513A">
      <w:rPr>
        <w:rFonts w:ascii="Arial" w:hAnsi="Arial" w:cs="Arial"/>
        <w:noProof/>
        <w:sz w:val="18"/>
        <w:szCs w:val="18"/>
        <w:lang w:bidi="ar-SA"/>
      </w:rPr>
      <w:drawing>
        <wp:anchor distT="0" distB="0" distL="0" distR="0" simplePos="0" relativeHeight="251673600" behindDoc="0" locked="0" layoutInCell="1" allowOverlap="1" wp14:anchorId="75FF41E3" wp14:editId="5C8F9F58">
          <wp:simplePos x="0" y="0"/>
          <wp:positionH relativeFrom="page">
            <wp:posOffset>4879340</wp:posOffset>
          </wp:positionH>
          <wp:positionV relativeFrom="paragraph">
            <wp:posOffset>1905</wp:posOffset>
          </wp:positionV>
          <wp:extent cx="575945" cy="575945"/>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 cstate="print"/>
                  <a:stretch>
                    <a:fillRect/>
                  </a:stretch>
                </pic:blipFill>
                <pic:spPr>
                  <a:xfrm>
                    <a:off x="0" y="0"/>
                    <a:ext cx="575945" cy="575945"/>
                  </a:xfrm>
                  <a:prstGeom prst="rect">
                    <a:avLst/>
                  </a:prstGeom>
                </pic:spPr>
              </pic:pic>
            </a:graphicData>
          </a:graphic>
        </wp:anchor>
      </w:drawing>
    </w:r>
    <w:r w:rsidRPr="00D8513A">
      <w:rPr>
        <w:rFonts w:ascii="Arial" w:hAnsi="Arial" w:cs="Arial"/>
        <w:b/>
        <w:noProof/>
        <w:sz w:val="18"/>
        <w:szCs w:val="18"/>
        <w:lang w:bidi="ar-SA"/>
      </w:rPr>
      <w:drawing>
        <wp:anchor distT="0" distB="0" distL="0" distR="0" simplePos="0" relativeHeight="251675648" behindDoc="0" locked="0" layoutInCell="1" allowOverlap="1" wp14:anchorId="0CE0D2CE" wp14:editId="2803E887">
          <wp:simplePos x="0" y="0"/>
          <wp:positionH relativeFrom="margin">
            <wp:align>left</wp:align>
          </wp:positionH>
          <wp:positionV relativeFrom="paragraph">
            <wp:posOffset>8890</wp:posOffset>
          </wp:positionV>
          <wp:extent cx="575945" cy="575945"/>
          <wp:effectExtent l="0" t="0" r="0" b="0"/>
          <wp:wrapNone/>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3" cstate="print"/>
                  <a:stretch>
                    <a:fillRect/>
                  </a:stretch>
                </pic:blipFill>
                <pic:spPr>
                  <a:xfrm>
                    <a:off x="0" y="0"/>
                    <a:ext cx="575945" cy="575945"/>
                  </a:xfrm>
                  <a:prstGeom prst="rect">
                    <a:avLst/>
                  </a:prstGeom>
                </pic:spPr>
              </pic:pic>
            </a:graphicData>
          </a:graphic>
        </wp:anchor>
      </w:drawing>
    </w:r>
    <w:r w:rsidRPr="00D8513A">
      <w:rPr>
        <w:rFonts w:ascii="Arial" w:hAnsi="Arial" w:cs="Arial"/>
        <w:b/>
        <w:color w:val="1D1D1B"/>
        <w:sz w:val="18"/>
        <w:szCs w:val="18"/>
      </w:rPr>
      <w:t xml:space="preserve">Jan Lener </w:t>
    </w:r>
    <w:r w:rsidRPr="00D8513A">
      <w:rPr>
        <w:rFonts w:ascii="Arial" w:hAnsi="Arial" w:cs="Arial"/>
        <w:b/>
        <w:color w:val="1D1D1B"/>
        <w:sz w:val="18"/>
        <w:szCs w:val="18"/>
      </w:rPr>
      <w:tab/>
    </w:r>
    <w:r w:rsidRPr="00D8513A">
      <w:rPr>
        <w:rFonts w:ascii="Arial" w:hAnsi="Arial" w:cs="Arial"/>
        <w:b/>
        <w:color w:val="1D1D1B"/>
        <w:sz w:val="18"/>
        <w:szCs w:val="18"/>
      </w:rPr>
      <w:tab/>
    </w:r>
    <w:r w:rsidRPr="00D8513A">
      <w:rPr>
        <w:rFonts w:ascii="Arial" w:hAnsi="Arial" w:cs="Arial"/>
        <w:b/>
        <w:color w:val="1D1D1B"/>
        <w:sz w:val="18"/>
        <w:szCs w:val="18"/>
      </w:rPr>
      <w:tab/>
    </w:r>
    <w:r w:rsidRPr="00D8513A">
      <w:rPr>
        <w:rFonts w:ascii="Arial" w:hAnsi="Arial" w:cs="Arial"/>
        <w:b/>
        <w:color w:val="1D1D1B"/>
        <w:sz w:val="18"/>
        <w:szCs w:val="18"/>
      </w:rPr>
      <w:tab/>
      <w:t>Viola Baštýřová</w:t>
    </w:r>
    <w:r w:rsidRPr="00D8513A">
      <w:rPr>
        <w:rFonts w:ascii="F015TEEMed" w:hAnsi="F015TEEMed"/>
        <w:color w:val="1D1D1B"/>
      </w:rPr>
      <w:t xml:space="preserve"> </w:t>
    </w:r>
    <w:r>
      <w:rPr>
        <w:rFonts w:ascii="F015TEEMed" w:hAnsi="F015TEEMed"/>
        <w:color w:val="1D1D1B"/>
      </w:rPr>
      <w:tab/>
    </w:r>
    <w:r>
      <w:rPr>
        <w:rFonts w:ascii="F015TEEMed" w:hAnsi="F015TEEMed"/>
        <w:color w:val="1D1D1B"/>
      </w:rPr>
      <w:tab/>
    </w:r>
    <w:r>
      <w:rPr>
        <w:rFonts w:ascii="F015TEEMed" w:hAnsi="F015TEEMed"/>
        <w:color w:val="1D1D1B"/>
      </w:rPr>
      <w:tab/>
    </w:r>
    <w:r>
      <w:rPr>
        <w:rFonts w:ascii="F015TEEMed" w:hAnsi="F015TEEMed"/>
        <w:color w:val="1D1D1B"/>
      </w:rPr>
      <w:tab/>
    </w:r>
    <w:r w:rsidRPr="00D8513A">
      <w:rPr>
        <w:rFonts w:ascii="Arial" w:hAnsi="Arial" w:cs="Arial"/>
        <w:b/>
        <w:color w:val="1D1D1B"/>
        <w:sz w:val="18"/>
        <w:szCs w:val="18"/>
      </w:rPr>
      <w:t>Martin Novák</w:t>
    </w:r>
  </w:p>
  <w:p w14:paraId="7E05E22D" w14:textId="77777777" w:rsidR="00241313" w:rsidRPr="00D8513A" w:rsidRDefault="00241313" w:rsidP="00241313">
    <w:pPr>
      <w:spacing w:line="268" w:lineRule="auto"/>
      <w:ind w:left="720" w:right="38" w:firstLine="273"/>
      <w:rPr>
        <w:rFonts w:ascii="Arial" w:hAnsi="Arial" w:cs="Arial"/>
        <w:color w:val="1D1D1B"/>
        <w:sz w:val="18"/>
        <w:szCs w:val="18"/>
      </w:rPr>
    </w:pPr>
    <w:r w:rsidRPr="00D8513A">
      <w:rPr>
        <w:rFonts w:ascii="Arial" w:hAnsi="Arial" w:cs="Arial"/>
        <w:color w:val="1D1D1B"/>
        <w:sz w:val="18"/>
        <w:szCs w:val="18"/>
      </w:rPr>
      <w:t>ředitel komunikace a PR</w:t>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pacing w:val="-4"/>
        <w:sz w:val="18"/>
        <w:szCs w:val="18"/>
      </w:rPr>
      <w:t>specialistka</w:t>
    </w:r>
    <w:r>
      <w:rPr>
        <w:rFonts w:ascii="Arial" w:hAnsi="Arial" w:cs="Arial"/>
        <w:color w:val="1D1D1B"/>
        <w:spacing w:val="-4"/>
        <w:sz w:val="18"/>
        <w:szCs w:val="18"/>
      </w:rPr>
      <w:t xml:space="preserve"> externí</w:t>
    </w:r>
    <w:r w:rsidRPr="00D8513A">
      <w:rPr>
        <w:rFonts w:ascii="Arial" w:hAnsi="Arial" w:cs="Arial"/>
        <w:color w:val="1D1D1B"/>
        <w:spacing w:val="-4"/>
        <w:sz w:val="18"/>
        <w:szCs w:val="18"/>
      </w:rPr>
      <w:t xml:space="preserve"> </w:t>
    </w:r>
    <w:r w:rsidRPr="00D8513A">
      <w:rPr>
        <w:rFonts w:ascii="Arial" w:hAnsi="Arial" w:cs="Arial"/>
        <w:color w:val="1D1D1B"/>
        <w:spacing w:val="-5"/>
        <w:sz w:val="18"/>
        <w:szCs w:val="18"/>
      </w:rPr>
      <w:t>komunikace</w:t>
    </w:r>
    <w:r w:rsidRPr="00D8513A">
      <w:rPr>
        <w:rFonts w:ascii="Arial" w:hAnsi="Arial" w:cs="Arial"/>
        <w:color w:val="1D1D1B"/>
        <w:spacing w:val="-5"/>
        <w:sz w:val="18"/>
        <w:szCs w:val="18"/>
      </w:rPr>
      <w:tab/>
    </w:r>
    <w:r w:rsidRPr="00D8513A">
      <w:rPr>
        <w:rFonts w:ascii="Arial" w:hAnsi="Arial" w:cs="Arial"/>
        <w:color w:val="1D1D1B"/>
        <w:spacing w:val="-5"/>
        <w:sz w:val="18"/>
        <w:szCs w:val="18"/>
      </w:rPr>
      <w:tab/>
      <w:t>hlavní analytik</w:t>
    </w:r>
  </w:p>
  <w:p w14:paraId="42C2D999" w14:textId="77777777" w:rsidR="00241313" w:rsidRPr="00D8513A" w:rsidRDefault="00241313" w:rsidP="00241313">
    <w:pPr>
      <w:spacing w:before="25"/>
      <w:ind w:left="273" w:firstLine="720"/>
      <w:rPr>
        <w:rFonts w:ascii="Arial" w:hAnsi="Arial" w:cs="Arial"/>
        <w:sz w:val="18"/>
        <w:szCs w:val="18"/>
      </w:rPr>
    </w:pPr>
    <w:r w:rsidRPr="00D8513A">
      <w:rPr>
        <w:rFonts w:ascii="Arial" w:hAnsi="Arial" w:cs="Arial"/>
        <w:color w:val="1D1D1B"/>
        <w:sz w:val="18"/>
        <w:szCs w:val="18"/>
      </w:rPr>
      <w:t>608 770</w:t>
    </w:r>
    <w:r w:rsidRPr="00D8513A">
      <w:rPr>
        <w:rFonts w:ascii="Arial" w:hAnsi="Arial" w:cs="Arial"/>
        <w:color w:val="1D1D1B"/>
        <w:spacing w:val="-6"/>
        <w:sz w:val="18"/>
        <w:szCs w:val="18"/>
      </w:rPr>
      <w:t> </w:t>
    </w:r>
    <w:r w:rsidRPr="00D8513A">
      <w:rPr>
        <w:rFonts w:ascii="Arial" w:hAnsi="Arial" w:cs="Arial"/>
        <w:color w:val="1D1D1B"/>
        <w:spacing w:val="-3"/>
        <w:sz w:val="18"/>
        <w:szCs w:val="18"/>
      </w:rPr>
      <w:t>955</w:t>
    </w:r>
    <w:r w:rsidRPr="00D8513A">
      <w:rPr>
        <w:rFonts w:ascii="Arial" w:hAnsi="Arial" w:cs="Arial"/>
        <w:color w:val="1D1D1B"/>
        <w:sz w:val="18"/>
        <w:szCs w:val="18"/>
      </w:rPr>
      <w:t xml:space="preserve"> </w:t>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pacing w:val="-3"/>
        <w:sz w:val="18"/>
        <w:szCs w:val="18"/>
      </w:rPr>
      <w:t xml:space="preserve">776 </w:t>
    </w:r>
    <w:r w:rsidRPr="00D8513A">
      <w:rPr>
        <w:rFonts w:ascii="Arial" w:hAnsi="Arial" w:cs="Arial"/>
        <w:color w:val="1D1D1B"/>
        <w:spacing w:val="-6"/>
        <w:sz w:val="18"/>
        <w:szCs w:val="18"/>
      </w:rPr>
      <w:t>210 </w:t>
    </w:r>
    <w:r w:rsidRPr="00D8513A">
      <w:rPr>
        <w:rFonts w:ascii="Arial" w:hAnsi="Arial" w:cs="Arial"/>
        <w:color w:val="1D1D1B"/>
        <w:sz w:val="18"/>
        <w:szCs w:val="18"/>
      </w:rPr>
      <w:t xml:space="preserve">599 </w:t>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z w:val="18"/>
        <w:szCs w:val="18"/>
      </w:rPr>
      <w:tab/>
    </w:r>
    <w:r w:rsidRPr="00D8513A">
      <w:rPr>
        <w:rFonts w:ascii="Arial" w:hAnsi="Arial" w:cs="Arial"/>
        <w:color w:val="1D1D1B"/>
        <w:sz w:val="18"/>
        <w:szCs w:val="18"/>
      </w:rPr>
      <w:tab/>
      <w:t>731 537 220</w:t>
    </w:r>
  </w:p>
  <w:p w14:paraId="4822A929" w14:textId="77777777" w:rsidR="00241313" w:rsidRPr="00D8513A" w:rsidRDefault="0013585B" w:rsidP="00241313">
    <w:pPr>
      <w:spacing w:line="220" w:lineRule="exact"/>
      <w:ind w:left="403" w:firstLine="590"/>
      <w:rPr>
        <w:rFonts w:ascii="Arial" w:hAnsi="Arial" w:cs="Arial"/>
        <w:sz w:val="18"/>
        <w:szCs w:val="18"/>
      </w:rPr>
    </w:pPr>
    <w:hyperlink r:id="rId4">
      <w:r w:rsidR="00241313" w:rsidRPr="00D8513A">
        <w:rPr>
          <w:rFonts w:ascii="Arial" w:hAnsi="Arial" w:cs="Arial"/>
          <w:color w:val="1D1D1B"/>
          <w:sz w:val="18"/>
          <w:szCs w:val="18"/>
        </w:rPr>
        <w:t>jan.lener@bcas.cz</w:t>
      </w:r>
    </w:hyperlink>
    <w:r w:rsidR="00F44AEB">
      <w:rPr>
        <w:rFonts w:ascii="Arial" w:hAnsi="Arial" w:cs="Arial"/>
        <w:color w:val="1D1D1B"/>
        <w:sz w:val="18"/>
        <w:szCs w:val="18"/>
      </w:rPr>
      <w:t xml:space="preserve"> </w:t>
    </w:r>
    <w:r w:rsidR="00241313" w:rsidRPr="00D8513A">
      <w:rPr>
        <w:rFonts w:ascii="Arial" w:hAnsi="Arial" w:cs="Arial"/>
        <w:color w:val="1D1D1B"/>
        <w:sz w:val="18"/>
        <w:szCs w:val="18"/>
      </w:rPr>
      <w:t xml:space="preserve"> </w:t>
    </w:r>
    <w:r w:rsidR="00241313" w:rsidRPr="00D8513A">
      <w:rPr>
        <w:rFonts w:ascii="Arial" w:hAnsi="Arial" w:cs="Arial"/>
        <w:color w:val="1D1D1B"/>
        <w:sz w:val="18"/>
        <w:szCs w:val="18"/>
      </w:rPr>
      <w:tab/>
    </w:r>
    <w:r w:rsidR="00241313" w:rsidRPr="00D8513A">
      <w:rPr>
        <w:rFonts w:ascii="Arial" w:hAnsi="Arial" w:cs="Arial"/>
        <w:color w:val="1D1D1B"/>
        <w:sz w:val="18"/>
        <w:szCs w:val="18"/>
      </w:rPr>
      <w:tab/>
    </w:r>
    <w:r w:rsidR="00241313" w:rsidRPr="00D8513A">
      <w:rPr>
        <w:rFonts w:ascii="Arial" w:hAnsi="Arial" w:cs="Arial"/>
        <w:color w:val="1D1D1B"/>
        <w:sz w:val="18"/>
        <w:szCs w:val="18"/>
      </w:rPr>
      <w:tab/>
    </w:r>
    <w:hyperlink r:id="rId5">
      <w:r w:rsidR="00241313" w:rsidRPr="00D8513A">
        <w:rPr>
          <w:rFonts w:ascii="Arial" w:hAnsi="Arial" w:cs="Arial"/>
          <w:color w:val="1D1D1B"/>
          <w:sz w:val="18"/>
          <w:szCs w:val="18"/>
        </w:rPr>
        <w:t>viola.bastyrova@bcas.cz</w:t>
      </w:r>
    </w:hyperlink>
    <w:r w:rsidR="00F44AEB">
      <w:rPr>
        <w:rFonts w:ascii="Arial" w:hAnsi="Arial" w:cs="Arial"/>
        <w:color w:val="1D1D1B"/>
        <w:sz w:val="18"/>
        <w:szCs w:val="18"/>
      </w:rPr>
      <w:t xml:space="preserve"> </w:t>
    </w:r>
    <w:r w:rsidR="00241313" w:rsidRPr="00D8513A">
      <w:rPr>
        <w:rFonts w:ascii="Arial" w:hAnsi="Arial" w:cs="Arial"/>
        <w:color w:val="1D1D1B"/>
        <w:sz w:val="18"/>
        <w:szCs w:val="18"/>
      </w:rPr>
      <w:tab/>
    </w:r>
    <w:r w:rsidR="00241313" w:rsidRPr="00D8513A">
      <w:rPr>
        <w:rFonts w:ascii="Arial" w:hAnsi="Arial" w:cs="Arial"/>
        <w:color w:val="1D1D1B"/>
        <w:sz w:val="18"/>
        <w:szCs w:val="18"/>
      </w:rPr>
      <w:tab/>
    </w:r>
    <w:r w:rsidR="00241313" w:rsidRPr="00D8513A">
      <w:rPr>
        <w:rFonts w:ascii="Arial" w:hAnsi="Arial" w:cs="Arial"/>
        <w:color w:val="1D1D1B"/>
        <w:sz w:val="18"/>
        <w:szCs w:val="18"/>
      </w:rPr>
      <w:tab/>
      <w:t>martin.novak@bcas.cz</w:t>
    </w:r>
    <w:r w:rsidR="00241313" w:rsidRPr="00D8513A">
      <w:rPr>
        <w:rFonts w:ascii="Arial" w:hAnsi="Arial" w:cs="Arial"/>
        <w:color w:val="1D1D1B"/>
        <w:sz w:val="18"/>
        <w:szCs w:val="18"/>
      </w:rPr>
      <w:tab/>
    </w:r>
  </w:p>
  <w:p w14:paraId="74C056EB" w14:textId="77777777" w:rsidR="009F59EE" w:rsidRDefault="009F59EE">
    <w:pPr>
      <w:pStyle w:val="Zpat"/>
    </w:pPr>
  </w:p>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F9DD9" w14:textId="77777777" w:rsidR="0013585B" w:rsidRDefault="0013585B">
      <w:r>
        <w:separator/>
      </w:r>
    </w:p>
  </w:footnote>
  <w:footnote w:type="continuationSeparator" w:id="0">
    <w:p w14:paraId="0D26E856" w14:textId="77777777" w:rsidR="0013585B" w:rsidRDefault="00135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3360"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4EC51" id="Line 89"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61312"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44928"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42880"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747D2" id="Line 3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0832"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77777777" w:rsidR="00B65A3B" w:rsidRPr="00B65A3B" w:rsidRDefault="00B65A3B" w:rsidP="00B65A3B">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9504"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745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57592" id="Line 32"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5408"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26F23"/>
    <w:rsid w:val="00032D94"/>
    <w:rsid w:val="000374D7"/>
    <w:rsid w:val="0005423A"/>
    <w:rsid w:val="000611E3"/>
    <w:rsid w:val="000853D4"/>
    <w:rsid w:val="0009776B"/>
    <w:rsid w:val="000D14E2"/>
    <w:rsid w:val="000E3D86"/>
    <w:rsid w:val="000F6249"/>
    <w:rsid w:val="001021CB"/>
    <w:rsid w:val="00111C28"/>
    <w:rsid w:val="0013044E"/>
    <w:rsid w:val="0013585B"/>
    <w:rsid w:val="00137003"/>
    <w:rsid w:val="001767A5"/>
    <w:rsid w:val="001A54DD"/>
    <w:rsid w:val="00241313"/>
    <w:rsid w:val="0025264B"/>
    <w:rsid w:val="00270DB3"/>
    <w:rsid w:val="002F485A"/>
    <w:rsid w:val="002F7EC2"/>
    <w:rsid w:val="00307E95"/>
    <w:rsid w:val="003128F8"/>
    <w:rsid w:val="00330918"/>
    <w:rsid w:val="00342F85"/>
    <w:rsid w:val="00347557"/>
    <w:rsid w:val="00355366"/>
    <w:rsid w:val="00385EED"/>
    <w:rsid w:val="003A4014"/>
    <w:rsid w:val="003A6435"/>
    <w:rsid w:val="0042193A"/>
    <w:rsid w:val="00445D0A"/>
    <w:rsid w:val="0050659B"/>
    <w:rsid w:val="005224C1"/>
    <w:rsid w:val="00541870"/>
    <w:rsid w:val="00577D19"/>
    <w:rsid w:val="005A5BBA"/>
    <w:rsid w:val="006A3BE2"/>
    <w:rsid w:val="006E26DC"/>
    <w:rsid w:val="006F32FB"/>
    <w:rsid w:val="0079572A"/>
    <w:rsid w:val="007A1122"/>
    <w:rsid w:val="007B358E"/>
    <w:rsid w:val="007E546A"/>
    <w:rsid w:val="0081387C"/>
    <w:rsid w:val="0083053E"/>
    <w:rsid w:val="00845A34"/>
    <w:rsid w:val="00885B2F"/>
    <w:rsid w:val="008A04D3"/>
    <w:rsid w:val="008C4B0D"/>
    <w:rsid w:val="008E19F3"/>
    <w:rsid w:val="008E6060"/>
    <w:rsid w:val="00915ADA"/>
    <w:rsid w:val="0094705C"/>
    <w:rsid w:val="00957B41"/>
    <w:rsid w:val="009C0ECA"/>
    <w:rsid w:val="009E317D"/>
    <w:rsid w:val="009E3B52"/>
    <w:rsid w:val="009F2CB2"/>
    <w:rsid w:val="009F59EE"/>
    <w:rsid w:val="00A069E2"/>
    <w:rsid w:val="00A36D79"/>
    <w:rsid w:val="00A51A4B"/>
    <w:rsid w:val="00AF6C34"/>
    <w:rsid w:val="00B244B9"/>
    <w:rsid w:val="00B43ABC"/>
    <w:rsid w:val="00B65A3B"/>
    <w:rsid w:val="00B95EBA"/>
    <w:rsid w:val="00BB6439"/>
    <w:rsid w:val="00C42FAF"/>
    <w:rsid w:val="00CC1067"/>
    <w:rsid w:val="00CD3324"/>
    <w:rsid w:val="00D01832"/>
    <w:rsid w:val="00D21C96"/>
    <w:rsid w:val="00D31127"/>
    <w:rsid w:val="00D80B6D"/>
    <w:rsid w:val="00D8513A"/>
    <w:rsid w:val="00DB7E77"/>
    <w:rsid w:val="00E00DC6"/>
    <w:rsid w:val="00E058A3"/>
    <w:rsid w:val="00E06132"/>
    <w:rsid w:val="00E17539"/>
    <w:rsid w:val="00E57F9B"/>
    <w:rsid w:val="00E81C95"/>
    <w:rsid w:val="00F44AEB"/>
    <w:rsid w:val="00F45620"/>
    <w:rsid w:val="00F5470D"/>
    <w:rsid w:val="00FB18D0"/>
    <w:rsid w:val="00FC5B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FA70B451-303E-400D-8829-0A0CF05F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okpoint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linkedin.com/company/786541/"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Broker.Consulti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10" Type="http://schemas.openxmlformats.org/officeDocument/2006/relationships/hyperlink" Target="http://www.okpointy.cz"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linkedin.com/company/10668151/"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okrealitnisluzby.cz/" TargetMode="External"/><Relationship Id="rId1" Type="http://schemas.openxmlformats.org/officeDocument/2006/relationships/hyperlink" Target="http://www.okrealitnisluzby.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hyperlink" Target="mailto:viola.bastyrova@bcas.cz" TargetMode="External"/><Relationship Id="rId4" Type="http://schemas.openxmlformats.org/officeDocument/2006/relationships/hyperlink" Target="mailto:jan.lener@bcas.cz"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hyperlink" Target="mailto:viola.bastyrova@bcas.cz" TargetMode="External"/><Relationship Id="rId4" Type="http://schemas.openxmlformats.org/officeDocument/2006/relationships/hyperlink" Target="mailto:jan.lener@bcas.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C67AC-FE29-4EE8-8A4C-56A9FBDA6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1026</Words>
  <Characters>6060</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Viola Baštýřová</cp:lastModifiedBy>
  <cp:revision>3</cp:revision>
  <dcterms:created xsi:type="dcterms:W3CDTF">2019-12-06T10:37:00Z</dcterms:created>
  <dcterms:modified xsi:type="dcterms:W3CDTF">2019-12-06T10:45:00Z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