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394A06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394A06">
            <w:rPr>
              <w:rFonts w:ascii="Arial" w:hAnsi="Arial" w:cs="Arial"/>
              <w:b/>
              <w:color w:val="1D1D1B"/>
              <w:sz w:val="24"/>
            </w:rPr>
            <w:t xml:space="preserve">INDEX HYPOTEČNÍCH ÚVĚRŮ </w:t>
          </w:r>
          <w:r w:rsidRPr="00394A06">
            <w:rPr>
              <w:rFonts w:ascii="Arial" w:hAnsi="Arial" w:cs="Arial"/>
              <w:b/>
              <w:color w:val="CD1719"/>
              <w:sz w:val="24"/>
            </w:rPr>
            <w:t xml:space="preserve">| </w:t>
          </w:r>
          <w:r w:rsidRPr="00394A06">
            <w:rPr>
              <w:rFonts w:ascii="Arial" w:hAnsi="Arial" w:cs="Arial"/>
              <w:b/>
              <w:color w:val="1D1D1B"/>
              <w:sz w:val="24"/>
            </w:rPr>
            <w:t>FIXINDEX</w:t>
          </w:r>
          <w:r w:rsidRPr="00394A06">
            <w:rPr>
              <w:rFonts w:ascii="Arial" w:hAnsi="Arial" w:cs="Arial"/>
              <w:color w:val="1D1D1B"/>
              <w:sz w:val="24"/>
            </w:rPr>
            <w:t xml:space="preserve">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PODÍLOVÝCH FONDŮ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3E70E6BF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POV 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227B3F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9E8062B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DDD1E85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39E8B760" w14:textId="3E084DCA" w:rsidR="00D80B6D" w:rsidRPr="00C64B40" w:rsidRDefault="00D80B6D" w:rsidP="00D80B6D">
          <w:pPr>
            <w:jc w:val="both"/>
            <w:rPr>
              <w:rStyle w:val="dn"/>
              <w:rFonts w:ascii="Arial" w:hAnsi="Arial" w:cs="Arial"/>
              <w:sz w:val="18"/>
              <w:szCs w:val="18"/>
              <w:lang w:val="cs-CZ"/>
            </w:rPr>
          </w:pPr>
          <w:r w:rsidRPr="00C64B40">
            <w:rPr>
              <w:rFonts w:ascii="Arial" w:hAnsi="Arial" w:cs="Arial"/>
              <w:sz w:val="20"/>
            </w:rPr>
            <w:t>Broker Consulting je jednou z největších poradenských společností na českém a slovenském trhu v oblasti financí a realit. Od roku 1998 získala důvěru více než 6</w:t>
          </w:r>
          <w:r w:rsidR="00256CDD">
            <w:rPr>
              <w:rFonts w:ascii="Arial" w:hAnsi="Arial" w:cs="Arial"/>
              <w:sz w:val="20"/>
            </w:rPr>
            <w:t>0</w:t>
          </w:r>
          <w:r w:rsidRPr="00C64B40">
            <w:rPr>
              <w:rFonts w:ascii="Arial" w:hAnsi="Arial" w:cs="Arial"/>
              <w:sz w:val="20"/>
            </w:rPr>
            <w:t xml:space="preserve">0 000 klientů. Poskytuje také služby přes 4 000 firmám. Služby společnosti Broker Consulting poskytuje přibližně 1 500 finančních konzultantů ve více než 100 klientských centrech a kancelářích. Společnost přinesla na český a slovenský trh řadu inovací. Jednalo se například o investice do otevřených podílových fondů se zamykáním zisků nebo unikátní produkty  životního dopojištění, které umožňují pojistit smrt a invaliditu za zlomek obvyklých cen. Broker Consulting rovněž ve spolupráci s </w:t>
          </w:r>
          <w:proofErr w:type="spellStart"/>
          <w:r w:rsidRPr="00C64B40">
            <w:rPr>
              <w:rFonts w:ascii="Arial" w:hAnsi="Arial" w:cs="Arial"/>
              <w:sz w:val="20"/>
            </w:rPr>
            <w:t>mBank</w:t>
          </w:r>
          <w:proofErr w:type="spellEnd"/>
          <w:r w:rsidRPr="00C64B40">
            <w:rPr>
              <w:rFonts w:ascii="Arial" w:hAnsi="Arial" w:cs="Arial"/>
              <w:sz w:val="20"/>
            </w:rPr>
            <w:t xml:space="preserve"> vytváří síť franšízových poboček pod názvem OK POINT, kterých je aktuálně otevřeno 44. </w:t>
          </w:r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Více na </w:t>
          </w:r>
          <w:hyperlink r:id="rId9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www.bcas.cz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na </w:t>
          </w:r>
          <w:hyperlink r:id="rId10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www.okpointy.cz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. Navštivte také náš </w:t>
          </w:r>
          <w:hyperlink r:id="rId11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Facebook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</w:t>
          </w:r>
          <w:hyperlink r:id="rId12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LinkedIN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Broker Consulting a </w:t>
          </w:r>
          <w:hyperlink r:id="rId13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Facebook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</w:t>
          </w:r>
          <w:hyperlink r:id="rId14" w:history="1">
            <w:proofErr w:type="spellStart"/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LinkedIn</w:t>
            </w:r>
            <w:proofErr w:type="spellEnd"/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OK </w:t>
          </w:r>
          <w:proofErr w:type="spellStart"/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>POINTů</w:t>
          </w:r>
          <w:proofErr w:type="spellEnd"/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. </w:t>
          </w:r>
        </w:p>
        <w:p w14:paraId="2FCFB564" w14:textId="77777777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sz w:val="20"/>
            </w:rPr>
          </w:pPr>
          <w:r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D80B6D">
              <w:headerReference w:type="default" r:id="rId15"/>
              <w:footerReference w:type="default" r:id="rId16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1B7271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65A13E4" w14:textId="71921FFA" w:rsidR="00270DB3" w:rsidRPr="00667B93" w:rsidRDefault="00587B4C" w:rsidP="0025264B">
      <w:pPr>
        <w:rPr>
          <w:rFonts w:ascii="Arial" w:hAnsi="Arial" w:cs="Arial"/>
          <w:b/>
          <w:sz w:val="20"/>
          <w:szCs w:val="20"/>
        </w:rPr>
      </w:pPr>
      <w:r w:rsidRPr="00667B93">
        <w:rPr>
          <w:rFonts w:ascii="Arial" w:hAnsi="Arial" w:cs="Arial"/>
          <w:b/>
          <w:sz w:val="20"/>
          <w:szCs w:val="20"/>
        </w:rPr>
        <w:t>Průměrná s</w:t>
      </w:r>
      <w:r w:rsidR="0013512D" w:rsidRPr="00667B93">
        <w:rPr>
          <w:rFonts w:ascii="Arial" w:hAnsi="Arial" w:cs="Arial"/>
          <w:b/>
          <w:sz w:val="20"/>
          <w:szCs w:val="20"/>
        </w:rPr>
        <w:t xml:space="preserve">azba hypotéčního úvěru </w:t>
      </w:r>
      <w:r w:rsidR="00C05433">
        <w:rPr>
          <w:rFonts w:ascii="Arial" w:hAnsi="Arial" w:cs="Arial"/>
          <w:b/>
          <w:sz w:val="20"/>
          <w:szCs w:val="20"/>
        </w:rPr>
        <w:t xml:space="preserve">se </w:t>
      </w:r>
      <w:r w:rsidR="006F262E">
        <w:rPr>
          <w:rFonts w:ascii="Arial" w:hAnsi="Arial" w:cs="Arial"/>
          <w:b/>
          <w:sz w:val="20"/>
          <w:szCs w:val="20"/>
        </w:rPr>
        <w:t>v</w:t>
      </w:r>
      <w:r w:rsidR="00C05433">
        <w:rPr>
          <w:rFonts w:ascii="Arial" w:hAnsi="Arial" w:cs="Arial"/>
          <w:b/>
          <w:sz w:val="20"/>
          <w:szCs w:val="20"/>
        </w:rPr>
        <w:t xml:space="preserve"> listopadu mírně zvedla na 2,56 %, </w:t>
      </w:r>
      <w:r w:rsidR="0013512D" w:rsidRPr="00667B93">
        <w:rPr>
          <w:rFonts w:ascii="Arial" w:hAnsi="Arial" w:cs="Arial"/>
          <w:b/>
          <w:sz w:val="20"/>
          <w:szCs w:val="20"/>
        </w:rPr>
        <w:t>p. a.</w:t>
      </w:r>
    </w:p>
    <w:p w14:paraId="68B9D7A9" w14:textId="77777777" w:rsidR="00270DB3" w:rsidRPr="00667B93" w:rsidRDefault="00270DB3" w:rsidP="0025264B">
      <w:pPr>
        <w:rPr>
          <w:rFonts w:ascii="Arial" w:hAnsi="Arial" w:cs="Arial"/>
          <w:b/>
          <w:sz w:val="20"/>
          <w:szCs w:val="20"/>
        </w:rPr>
      </w:pPr>
    </w:p>
    <w:p w14:paraId="3C935353" w14:textId="2E578407" w:rsidR="00B65A3B" w:rsidRPr="00667B93" w:rsidRDefault="00C05433" w:rsidP="00587B4C">
      <w:pPr>
        <w:rPr>
          <w:rFonts w:ascii="Arial" w:hAnsi="Arial" w:cs="Arial"/>
          <w:b/>
          <w:sz w:val="20"/>
          <w:szCs w:val="20"/>
        </w:rPr>
      </w:pPr>
      <w:r w:rsidRPr="00C05433">
        <w:rPr>
          <w:rFonts w:ascii="Arial" w:hAnsi="Arial" w:cs="Arial"/>
          <w:b/>
          <w:sz w:val="20"/>
          <w:szCs w:val="20"/>
        </w:rPr>
        <w:t xml:space="preserve">Dle </w:t>
      </w:r>
      <w:proofErr w:type="gramStart"/>
      <w:r>
        <w:rPr>
          <w:rFonts w:ascii="Arial" w:hAnsi="Arial" w:cs="Arial"/>
          <w:b/>
          <w:sz w:val="20"/>
          <w:szCs w:val="20"/>
        </w:rPr>
        <w:t>Broker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Consulting </w:t>
      </w:r>
      <w:r w:rsidRPr="00C05433">
        <w:rPr>
          <w:rFonts w:ascii="Arial" w:hAnsi="Arial" w:cs="Arial"/>
          <w:b/>
          <w:sz w:val="20"/>
          <w:szCs w:val="20"/>
        </w:rPr>
        <w:t xml:space="preserve">Indexu hypotečních úvěrů sazby v měsíci listopadu mírně stagnovaly, v případě fixace úrokové sazby na pět let dokonce mírně rostly. </w:t>
      </w:r>
      <w:r w:rsidR="00587B4C" w:rsidRPr="00667B93">
        <w:rPr>
          <w:rFonts w:ascii="Arial" w:hAnsi="Arial" w:cs="Arial"/>
          <w:b/>
          <w:sz w:val="20"/>
          <w:szCs w:val="20"/>
        </w:rPr>
        <w:t>Průměrná sazba úvěrů na bydlení v</w:t>
      </w:r>
      <w:r>
        <w:rPr>
          <w:rFonts w:ascii="Arial" w:hAnsi="Arial" w:cs="Arial"/>
          <w:b/>
          <w:sz w:val="20"/>
          <w:szCs w:val="20"/>
        </w:rPr>
        <w:t> listopadu stoupla na</w:t>
      </w:r>
      <w:r w:rsidR="00681566">
        <w:rPr>
          <w:rFonts w:ascii="Arial" w:hAnsi="Arial" w:cs="Arial"/>
          <w:b/>
          <w:sz w:val="20"/>
          <w:szCs w:val="20"/>
        </w:rPr>
        <w:t xml:space="preserve"> </w:t>
      </w:r>
      <w:r w:rsidR="00FB551F" w:rsidRPr="00667B93">
        <w:rPr>
          <w:rFonts w:ascii="Arial" w:hAnsi="Arial" w:cs="Arial"/>
          <w:b/>
          <w:sz w:val="20"/>
          <w:szCs w:val="20"/>
        </w:rPr>
        <w:t>2,</w:t>
      </w:r>
      <w:r w:rsidR="006F262E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6</w:t>
      </w:r>
      <w:r w:rsidR="007B0DF8">
        <w:rPr>
          <w:rFonts w:ascii="Arial" w:hAnsi="Arial" w:cs="Arial"/>
          <w:b/>
          <w:sz w:val="20"/>
          <w:szCs w:val="20"/>
        </w:rPr>
        <w:t> </w:t>
      </w:r>
      <w:r w:rsidR="00587B4C" w:rsidRPr="00667B93">
        <w:rPr>
          <w:rFonts w:ascii="Arial" w:hAnsi="Arial" w:cs="Arial"/>
          <w:b/>
          <w:sz w:val="20"/>
          <w:szCs w:val="20"/>
        </w:rPr>
        <w:t>%, p. a.</w:t>
      </w:r>
      <w:r w:rsidR="00667B93">
        <w:rPr>
          <w:rFonts w:ascii="Arial" w:hAnsi="Arial" w:cs="Arial"/>
          <w:b/>
          <w:sz w:val="20"/>
          <w:szCs w:val="20"/>
        </w:rPr>
        <w:t xml:space="preserve">, což znamená </w:t>
      </w:r>
      <w:r w:rsidR="00BB6E6E">
        <w:rPr>
          <w:rFonts w:ascii="Arial" w:hAnsi="Arial" w:cs="Arial"/>
          <w:b/>
          <w:sz w:val="20"/>
          <w:szCs w:val="20"/>
        </w:rPr>
        <w:t>změnu</w:t>
      </w:r>
      <w:r w:rsidR="00667B93">
        <w:rPr>
          <w:rFonts w:ascii="Arial" w:hAnsi="Arial" w:cs="Arial"/>
          <w:b/>
          <w:sz w:val="20"/>
          <w:szCs w:val="20"/>
        </w:rPr>
        <w:t xml:space="preserve"> o </w:t>
      </w:r>
      <w:r>
        <w:rPr>
          <w:rFonts w:ascii="Arial" w:hAnsi="Arial" w:cs="Arial"/>
          <w:b/>
          <w:sz w:val="20"/>
          <w:szCs w:val="20"/>
        </w:rPr>
        <w:t>+</w:t>
      </w:r>
      <w:r w:rsidR="00BB6E6E">
        <w:rPr>
          <w:rFonts w:ascii="Arial" w:hAnsi="Arial" w:cs="Arial"/>
          <w:b/>
          <w:sz w:val="20"/>
          <w:szCs w:val="20"/>
        </w:rPr>
        <w:t>0</w:t>
      </w:r>
      <w:r w:rsidR="00667B93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>06</w:t>
      </w:r>
      <w:r w:rsidR="00667B93">
        <w:rPr>
          <w:rFonts w:ascii="Arial" w:hAnsi="Arial" w:cs="Arial"/>
          <w:b/>
          <w:sz w:val="20"/>
          <w:szCs w:val="20"/>
        </w:rPr>
        <w:t xml:space="preserve"> procentního bodu</w:t>
      </w:r>
      <w:r w:rsidR="00B43417" w:rsidRPr="00B43417">
        <w:rPr>
          <w:rFonts w:ascii="Arial" w:hAnsi="Arial" w:cs="Arial"/>
          <w:b/>
          <w:sz w:val="20"/>
          <w:szCs w:val="20"/>
        </w:rPr>
        <w:t xml:space="preserve"> </w:t>
      </w:r>
      <w:r w:rsidR="00B43417">
        <w:rPr>
          <w:rFonts w:ascii="Arial" w:hAnsi="Arial" w:cs="Arial"/>
          <w:b/>
          <w:sz w:val="20"/>
          <w:szCs w:val="20"/>
        </w:rPr>
        <w:t>oproti minulému měsíci</w:t>
      </w:r>
      <w:r w:rsidR="00667B93">
        <w:rPr>
          <w:rFonts w:ascii="Arial" w:hAnsi="Arial" w:cs="Arial"/>
          <w:b/>
          <w:sz w:val="20"/>
          <w:szCs w:val="20"/>
        </w:rPr>
        <w:t>.</w:t>
      </w:r>
      <w:r w:rsidR="00587B4C" w:rsidRPr="00667B93">
        <w:rPr>
          <w:rFonts w:ascii="Arial" w:hAnsi="Arial" w:cs="Arial"/>
          <w:b/>
          <w:sz w:val="20"/>
          <w:szCs w:val="20"/>
        </w:rPr>
        <w:t xml:space="preserve"> Od ledna, respektive února 2019, kdy sazby překonaly hranici 3 procent, se jedná o pokles</w:t>
      </w:r>
      <w:r w:rsidR="00340975" w:rsidRPr="00667B93">
        <w:rPr>
          <w:rFonts w:ascii="Arial" w:hAnsi="Arial" w:cs="Arial"/>
          <w:b/>
          <w:sz w:val="20"/>
          <w:szCs w:val="20"/>
        </w:rPr>
        <w:t xml:space="preserve"> o </w:t>
      </w:r>
      <w:r w:rsidR="00667B93">
        <w:rPr>
          <w:rFonts w:ascii="Arial" w:hAnsi="Arial" w:cs="Arial"/>
          <w:b/>
          <w:sz w:val="20"/>
          <w:szCs w:val="20"/>
        </w:rPr>
        <w:t>0,</w:t>
      </w:r>
      <w:r>
        <w:rPr>
          <w:rFonts w:ascii="Arial" w:hAnsi="Arial" w:cs="Arial"/>
          <w:b/>
          <w:sz w:val="20"/>
          <w:szCs w:val="20"/>
        </w:rPr>
        <w:t>48</w:t>
      </w:r>
      <w:r w:rsidR="00667B93">
        <w:rPr>
          <w:rFonts w:ascii="Arial" w:hAnsi="Arial" w:cs="Arial"/>
          <w:b/>
          <w:sz w:val="20"/>
          <w:szCs w:val="20"/>
        </w:rPr>
        <w:t xml:space="preserve"> procentního bodu</w:t>
      </w:r>
      <w:r w:rsidR="00587B4C" w:rsidRPr="00667B93">
        <w:rPr>
          <w:rFonts w:ascii="Arial" w:hAnsi="Arial" w:cs="Arial"/>
          <w:b/>
          <w:sz w:val="20"/>
          <w:szCs w:val="20"/>
        </w:rPr>
        <w:t xml:space="preserve">. </w:t>
      </w:r>
    </w:p>
    <w:p w14:paraId="7AF06453" w14:textId="77777777" w:rsidR="00B65A3B" w:rsidRPr="00667B93" w:rsidRDefault="00B65A3B" w:rsidP="0025264B">
      <w:pPr>
        <w:rPr>
          <w:rFonts w:ascii="Arial" w:hAnsi="Arial" w:cs="Arial"/>
          <w:sz w:val="20"/>
          <w:szCs w:val="20"/>
        </w:rPr>
      </w:pPr>
    </w:p>
    <w:p w14:paraId="5139443C" w14:textId="40A9C135" w:rsidR="00C05433" w:rsidRPr="00C05433" w:rsidRDefault="007B0DF8" w:rsidP="00C054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C05433" w:rsidRPr="00C05433">
        <w:rPr>
          <w:rFonts w:ascii="Arial" w:hAnsi="Arial" w:cs="Arial"/>
          <w:sz w:val="20"/>
          <w:szCs w:val="20"/>
        </w:rPr>
        <w:t xml:space="preserve">Není čeho </w:t>
      </w:r>
      <w:r>
        <w:rPr>
          <w:rFonts w:ascii="Arial" w:hAnsi="Arial" w:cs="Arial"/>
          <w:sz w:val="20"/>
          <w:szCs w:val="20"/>
        </w:rPr>
        <w:t xml:space="preserve">se </w:t>
      </w:r>
      <w:r w:rsidR="00C05433" w:rsidRPr="00C05433">
        <w:rPr>
          <w:rFonts w:ascii="Arial" w:hAnsi="Arial" w:cs="Arial"/>
          <w:sz w:val="20"/>
          <w:szCs w:val="20"/>
        </w:rPr>
        <w:t>nějak zásadně obávat. Stále jsme přesvědčeni, že úrokové sazby i v dalších období</w:t>
      </w:r>
      <w:r w:rsidR="009676B8">
        <w:rPr>
          <w:rFonts w:ascii="Arial" w:hAnsi="Arial" w:cs="Arial"/>
          <w:sz w:val="20"/>
          <w:szCs w:val="20"/>
        </w:rPr>
        <w:t>ch</w:t>
      </w:r>
      <w:r w:rsidR="00C05433" w:rsidRPr="00C05433">
        <w:rPr>
          <w:rFonts w:ascii="Arial" w:hAnsi="Arial" w:cs="Arial"/>
          <w:sz w:val="20"/>
          <w:szCs w:val="20"/>
        </w:rPr>
        <w:t xml:space="preserve"> zůstanou na podobných úrovních jako nyní</w:t>
      </w:r>
      <w:r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nebo mohou dokonce mírně klesat. Vše má ve svých rukou Česká národní banka. Pokud bude zvyšovat základní úrokové sazby</w:t>
      </w:r>
      <w:r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je samozřejmě možné, že vývoj </w:t>
      </w:r>
      <w:r>
        <w:rPr>
          <w:rFonts w:ascii="Arial" w:hAnsi="Arial" w:cs="Arial"/>
          <w:sz w:val="20"/>
          <w:szCs w:val="20"/>
        </w:rPr>
        <w:t xml:space="preserve">úrokové sazby </w:t>
      </w:r>
      <w:r w:rsidR="00C05433" w:rsidRPr="00C05433">
        <w:rPr>
          <w:rFonts w:ascii="Arial" w:hAnsi="Arial" w:cs="Arial"/>
          <w:sz w:val="20"/>
          <w:szCs w:val="20"/>
        </w:rPr>
        <w:t xml:space="preserve">bude </w:t>
      </w:r>
      <w:r>
        <w:rPr>
          <w:rFonts w:ascii="Arial" w:hAnsi="Arial" w:cs="Arial"/>
          <w:sz w:val="20"/>
          <w:szCs w:val="20"/>
        </w:rPr>
        <w:t>rostoucí</w:t>
      </w:r>
      <w:r w:rsidR="00C05433" w:rsidRPr="00C05433">
        <w:rPr>
          <w:rFonts w:ascii="Arial" w:hAnsi="Arial" w:cs="Arial"/>
          <w:sz w:val="20"/>
          <w:szCs w:val="20"/>
        </w:rPr>
        <w:t xml:space="preserve">. Na druhou </w:t>
      </w:r>
      <w:r>
        <w:rPr>
          <w:rFonts w:ascii="Arial" w:hAnsi="Arial" w:cs="Arial"/>
          <w:sz w:val="20"/>
          <w:szCs w:val="20"/>
        </w:rPr>
        <w:t xml:space="preserve">stranu </w:t>
      </w:r>
      <w:r w:rsidR="00C05433" w:rsidRPr="00C05433">
        <w:rPr>
          <w:rFonts w:ascii="Arial" w:hAnsi="Arial" w:cs="Arial"/>
          <w:sz w:val="20"/>
          <w:szCs w:val="20"/>
        </w:rPr>
        <w:t>signály z trhů takové nejsou a všichni očekávají, že ČNB ponechá zatím sazby bez výrazných změn</w:t>
      </w:r>
      <w:r>
        <w:rPr>
          <w:rFonts w:ascii="Arial" w:hAnsi="Arial" w:cs="Arial"/>
          <w:sz w:val="20"/>
          <w:szCs w:val="20"/>
        </w:rPr>
        <w:t>,“ komentuje vývoj Martin Novák, hlavní analytik Broker Consulting</w:t>
      </w:r>
      <w:r w:rsidR="00C05433" w:rsidRPr="00C05433">
        <w:rPr>
          <w:rFonts w:ascii="Arial" w:hAnsi="Arial" w:cs="Arial"/>
          <w:sz w:val="20"/>
          <w:szCs w:val="20"/>
        </w:rPr>
        <w:t xml:space="preserve">. </w:t>
      </w:r>
    </w:p>
    <w:p w14:paraId="1CFB8C17" w14:textId="77777777" w:rsidR="00C05433" w:rsidRPr="00C05433" w:rsidRDefault="00C05433" w:rsidP="00C05433">
      <w:pPr>
        <w:rPr>
          <w:rFonts w:ascii="Arial" w:hAnsi="Arial" w:cs="Arial"/>
          <w:sz w:val="20"/>
          <w:szCs w:val="20"/>
        </w:rPr>
      </w:pPr>
    </w:p>
    <w:p w14:paraId="7EA3691E" w14:textId="77777777" w:rsidR="00275A59" w:rsidRDefault="00C05433" w:rsidP="00C05433">
      <w:pPr>
        <w:rPr>
          <w:rFonts w:ascii="Arial" w:hAnsi="Arial" w:cs="Arial"/>
          <w:sz w:val="20"/>
          <w:szCs w:val="20"/>
        </w:rPr>
      </w:pPr>
      <w:r w:rsidRPr="00C05433">
        <w:rPr>
          <w:rFonts w:ascii="Arial" w:hAnsi="Arial" w:cs="Arial"/>
          <w:sz w:val="20"/>
          <w:szCs w:val="20"/>
        </w:rPr>
        <w:t xml:space="preserve">Na hypotečním trhu </w:t>
      </w:r>
      <w:r w:rsidR="00275A59">
        <w:rPr>
          <w:rFonts w:ascii="Arial" w:hAnsi="Arial" w:cs="Arial"/>
          <w:sz w:val="20"/>
          <w:szCs w:val="20"/>
        </w:rPr>
        <w:t xml:space="preserve">celkově </w:t>
      </w:r>
      <w:r w:rsidRPr="00C05433">
        <w:rPr>
          <w:rFonts w:ascii="Arial" w:hAnsi="Arial" w:cs="Arial"/>
          <w:sz w:val="20"/>
          <w:szCs w:val="20"/>
        </w:rPr>
        <w:t>můžeme sledovat meziroční propad na úrovni okolo 20</w:t>
      </w:r>
      <w:r w:rsidR="00275A59">
        <w:rPr>
          <w:rFonts w:ascii="Arial" w:hAnsi="Arial" w:cs="Arial"/>
          <w:sz w:val="20"/>
          <w:szCs w:val="20"/>
        </w:rPr>
        <w:t xml:space="preserve"> %</w:t>
      </w:r>
      <w:r w:rsidRPr="00C05433">
        <w:rPr>
          <w:rFonts w:ascii="Arial" w:hAnsi="Arial" w:cs="Arial"/>
          <w:sz w:val="20"/>
          <w:szCs w:val="20"/>
        </w:rPr>
        <w:t xml:space="preserve"> v počtech i objeme</w:t>
      </w:r>
      <w:r w:rsidR="00275A59">
        <w:rPr>
          <w:rFonts w:ascii="Arial" w:hAnsi="Arial" w:cs="Arial"/>
          <w:sz w:val="20"/>
          <w:szCs w:val="20"/>
        </w:rPr>
        <w:t xml:space="preserve">ch. Je to dáno hlavně dvěma faktory: postupným takzvaným </w:t>
      </w:r>
      <w:r w:rsidRPr="00C05433">
        <w:rPr>
          <w:rFonts w:ascii="Arial" w:hAnsi="Arial" w:cs="Arial"/>
          <w:sz w:val="20"/>
          <w:szCs w:val="20"/>
        </w:rPr>
        <w:t>nasycením trhu a také rostoucími cenami nemovitostí. Třetí</w:t>
      </w:r>
      <w:r w:rsidR="00275A59">
        <w:rPr>
          <w:rFonts w:ascii="Arial" w:hAnsi="Arial" w:cs="Arial"/>
          <w:sz w:val="20"/>
          <w:szCs w:val="20"/>
        </w:rPr>
        <w:t>m</w:t>
      </w:r>
      <w:r w:rsidRPr="00C05433">
        <w:rPr>
          <w:rFonts w:ascii="Arial" w:hAnsi="Arial" w:cs="Arial"/>
          <w:sz w:val="20"/>
          <w:szCs w:val="20"/>
        </w:rPr>
        <w:t xml:space="preserve"> do party je mnohokrát vzpomínaný zásah ČNB na konci loňského roku. Jen pro připomenutí se jedná o doporučení úvěrujícím bankám na zavedení dodatečných schvalovacích parametrů, které míří na platební schopnost klientů. Tedy kromě omezení výše úvěru pomocí ukazatele LTV (kolik může banka půjčit s ohledem na velikost zástavy</w:t>
      </w:r>
      <w:r w:rsidR="00275A59">
        <w:rPr>
          <w:rFonts w:ascii="Arial" w:hAnsi="Arial" w:cs="Arial"/>
          <w:sz w:val="20"/>
          <w:szCs w:val="20"/>
        </w:rPr>
        <w:t>)</w:t>
      </w:r>
      <w:r w:rsidRPr="00C05433">
        <w:rPr>
          <w:rFonts w:ascii="Arial" w:hAnsi="Arial" w:cs="Arial"/>
          <w:sz w:val="20"/>
          <w:szCs w:val="20"/>
        </w:rPr>
        <w:t xml:space="preserve">, tu jsou další dva </w:t>
      </w:r>
      <w:r w:rsidR="00275A59" w:rsidRPr="00C05433">
        <w:rPr>
          <w:rFonts w:ascii="Arial" w:hAnsi="Arial" w:cs="Arial"/>
          <w:sz w:val="20"/>
          <w:szCs w:val="20"/>
        </w:rPr>
        <w:t>ukazatele</w:t>
      </w:r>
      <w:r w:rsidR="00275A59">
        <w:rPr>
          <w:rFonts w:ascii="Arial" w:hAnsi="Arial" w:cs="Arial"/>
          <w:sz w:val="20"/>
          <w:szCs w:val="20"/>
        </w:rPr>
        <w:t>:</w:t>
      </w:r>
      <w:r w:rsidRPr="00C05433">
        <w:rPr>
          <w:rFonts w:ascii="Arial" w:hAnsi="Arial" w:cs="Arial"/>
          <w:sz w:val="20"/>
          <w:szCs w:val="20"/>
        </w:rPr>
        <w:t xml:space="preserve"> LTI a DSTI. </w:t>
      </w:r>
    </w:p>
    <w:p w14:paraId="70272D13" w14:textId="77777777" w:rsidR="00275A59" w:rsidRDefault="00275A59" w:rsidP="00C05433">
      <w:pPr>
        <w:rPr>
          <w:rFonts w:ascii="Arial" w:hAnsi="Arial" w:cs="Arial"/>
          <w:sz w:val="20"/>
          <w:szCs w:val="20"/>
        </w:rPr>
      </w:pPr>
    </w:p>
    <w:p w14:paraId="6B1ACE9C" w14:textId="77D4FD9D" w:rsidR="00D251BC" w:rsidRDefault="00275A59" w:rsidP="00D251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C05433" w:rsidRPr="00C05433">
        <w:rPr>
          <w:rFonts w:ascii="Arial" w:hAnsi="Arial" w:cs="Arial"/>
          <w:sz w:val="20"/>
          <w:szCs w:val="20"/>
        </w:rPr>
        <w:t>Jednoduše řečeno</w:t>
      </w:r>
      <w:r>
        <w:rPr>
          <w:rFonts w:ascii="Arial" w:hAnsi="Arial" w:cs="Arial"/>
          <w:sz w:val="20"/>
          <w:szCs w:val="20"/>
        </w:rPr>
        <w:t>:</w:t>
      </w:r>
      <w:r w:rsidR="00C05433" w:rsidRPr="00C05433">
        <w:rPr>
          <w:rFonts w:ascii="Arial" w:hAnsi="Arial" w:cs="Arial"/>
          <w:sz w:val="20"/>
          <w:szCs w:val="20"/>
        </w:rPr>
        <w:t xml:space="preserve"> na stejnou </w:t>
      </w:r>
      <w:r>
        <w:rPr>
          <w:rFonts w:ascii="Arial" w:hAnsi="Arial" w:cs="Arial"/>
          <w:sz w:val="20"/>
          <w:szCs w:val="20"/>
        </w:rPr>
        <w:t>výši hypotéčního úvěru</w:t>
      </w:r>
      <w:r w:rsidR="00C05433" w:rsidRPr="00C05433">
        <w:rPr>
          <w:rFonts w:ascii="Arial" w:hAnsi="Arial" w:cs="Arial"/>
          <w:sz w:val="20"/>
          <w:szCs w:val="20"/>
        </w:rPr>
        <w:t xml:space="preserve"> najednou potřebujete vyšší příjem</w:t>
      </w:r>
      <w:r w:rsidR="009A60E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9A60E8">
        <w:rPr>
          <w:rFonts w:ascii="Arial" w:hAnsi="Arial" w:cs="Arial"/>
          <w:sz w:val="20"/>
          <w:szCs w:val="20"/>
        </w:rPr>
        <w:t>i když</w:t>
      </w:r>
      <w:r w:rsidR="00C05433" w:rsidRPr="00C05433">
        <w:rPr>
          <w:rFonts w:ascii="Arial" w:hAnsi="Arial" w:cs="Arial"/>
          <w:sz w:val="20"/>
          <w:szCs w:val="20"/>
        </w:rPr>
        <w:t xml:space="preserve"> stejná výše hypotéky vlastně </w:t>
      </w:r>
      <w:r w:rsidR="009A60E8">
        <w:rPr>
          <w:rFonts w:ascii="Arial" w:hAnsi="Arial" w:cs="Arial"/>
          <w:sz w:val="20"/>
          <w:szCs w:val="20"/>
        </w:rPr>
        <w:t>nepo</w:t>
      </w:r>
      <w:r w:rsidR="00C05433" w:rsidRPr="00C05433">
        <w:rPr>
          <w:rFonts w:ascii="Arial" w:hAnsi="Arial" w:cs="Arial"/>
          <w:sz w:val="20"/>
          <w:szCs w:val="20"/>
        </w:rPr>
        <w:t>stačí</w:t>
      </w:r>
      <w:r w:rsidR="009A60E8">
        <w:rPr>
          <w:rFonts w:ascii="Arial" w:hAnsi="Arial" w:cs="Arial"/>
          <w:sz w:val="20"/>
          <w:szCs w:val="20"/>
        </w:rPr>
        <w:t>, protože se mezitím zdražily</w:t>
      </w:r>
      <w:r w:rsidR="00C05433" w:rsidRPr="00C05433">
        <w:rPr>
          <w:rFonts w:ascii="Arial" w:hAnsi="Arial" w:cs="Arial"/>
          <w:sz w:val="20"/>
          <w:szCs w:val="20"/>
        </w:rPr>
        <w:t xml:space="preserve"> nemovitosti. Jako </w:t>
      </w:r>
      <w:r w:rsidR="009A60E8">
        <w:rPr>
          <w:rFonts w:ascii="Arial" w:hAnsi="Arial" w:cs="Arial"/>
          <w:sz w:val="20"/>
          <w:szCs w:val="20"/>
        </w:rPr>
        <w:t>kupující tak máte jen tři možnosti:</w:t>
      </w:r>
      <w:r w:rsidR="00C05433" w:rsidRPr="00C05433">
        <w:rPr>
          <w:rFonts w:ascii="Arial" w:hAnsi="Arial" w:cs="Arial"/>
          <w:sz w:val="20"/>
          <w:szCs w:val="20"/>
        </w:rPr>
        <w:t xml:space="preserve"> od někoho si </w:t>
      </w:r>
      <w:proofErr w:type="spellStart"/>
      <w:r w:rsidR="009A60E8">
        <w:rPr>
          <w:rFonts w:ascii="Arial" w:hAnsi="Arial" w:cs="Arial"/>
          <w:sz w:val="20"/>
          <w:szCs w:val="20"/>
        </w:rPr>
        <w:t>do</w:t>
      </w:r>
      <w:r w:rsidR="00C05433" w:rsidRPr="00C05433">
        <w:rPr>
          <w:rFonts w:ascii="Arial" w:hAnsi="Arial" w:cs="Arial"/>
          <w:sz w:val="20"/>
          <w:szCs w:val="20"/>
        </w:rPr>
        <w:t>půjčit</w:t>
      </w:r>
      <w:proofErr w:type="spellEnd"/>
      <w:r w:rsidR="00B500BA">
        <w:rPr>
          <w:rFonts w:ascii="Arial" w:hAnsi="Arial" w:cs="Arial"/>
          <w:sz w:val="20"/>
          <w:szCs w:val="20"/>
        </w:rPr>
        <w:t xml:space="preserve"> potřebnou částku do 10 až 20 procent vlastních prostřed</w:t>
      </w:r>
      <w:r w:rsidR="009676B8">
        <w:rPr>
          <w:rFonts w:ascii="Arial" w:hAnsi="Arial" w:cs="Arial"/>
          <w:sz w:val="20"/>
          <w:szCs w:val="20"/>
        </w:rPr>
        <w:t>k</w:t>
      </w:r>
      <w:r w:rsidR="00B500BA">
        <w:rPr>
          <w:rFonts w:ascii="Arial" w:hAnsi="Arial" w:cs="Arial"/>
          <w:sz w:val="20"/>
          <w:szCs w:val="20"/>
        </w:rPr>
        <w:t>ů</w:t>
      </w:r>
      <w:r w:rsidR="009A60E8">
        <w:rPr>
          <w:rFonts w:ascii="Arial" w:hAnsi="Arial" w:cs="Arial"/>
          <w:sz w:val="20"/>
          <w:szCs w:val="20"/>
        </w:rPr>
        <w:t>, mít</w:t>
      </w:r>
      <w:r w:rsidR="00C05433" w:rsidRPr="00C05433">
        <w:rPr>
          <w:rFonts w:ascii="Arial" w:hAnsi="Arial" w:cs="Arial"/>
          <w:sz w:val="20"/>
          <w:szCs w:val="20"/>
        </w:rPr>
        <w:t xml:space="preserve"> další nemovitost do zástavy</w:t>
      </w:r>
      <w:r w:rsidR="009A60E8"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abyste snížili ukazatel LTV, nebo </w:t>
      </w:r>
      <w:r w:rsidR="009A60E8">
        <w:rPr>
          <w:rFonts w:ascii="Arial" w:hAnsi="Arial" w:cs="Arial"/>
          <w:sz w:val="20"/>
          <w:szCs w:val="20"/>
        </w:rPr>
        <w:t>vytvořit větší vlastní rezervu peněz</w:t>
      </w:r>
      <w:r w:rsidR="00B500BA">
        <w:rPr>
          <w:rFonts w:ascii="Arial" w:hAnsi="Arial" w:cs="Arial"/>
          <w:sz w:val="20"/>
          <w:szCs w:val="20"/>
        </w:rPr>
        <w:t>, což je obvykle časově náročnější,“ radí Novák a pokračuje: „</w:t>
      </w:r>
      <w:r w:rsidR="00C05433" w:rsidRPr="00C05433">
        <w:rPr>
          <w:rFonts w:ascii="Arial" w:hAnsi="Arial" w:cs="Arial"/>
          <w:sz w:val="20"/>
          <w:szCs w:val="20"/>
        </w:rPr>
        <w:t>Tohle poměrně dost klientů pochopilo v minulém roce a své bydlení vyřešilo již v</w:t>
      </w:r>
      <w:r w:rsidR="00B500BA">
        <w:rPr>
          <w:rFonts w:ascii="Arial" w:hAnsi="Arial" w:cs="Arial"/>
          <w:sz w:val="20"/>
          <w:szCs w:val="20"/>
        </w:rPr>
        <w:t> </w:t>
      </w:r>
      <w:r w:rsidR="00C05433" w:rsidRPr="00C05433">
        <w:rPr>
          <w:rFonts w:ascii="Arial" w:hAnsi="Arial" w:cs="Arial"/>
          <w:sz w:val="20"/>
          <w:szCs w:val="20"/>
        </w:rPr>
        <w:t>říjnu</w:t>
      </w:r>
      <w:r w:rsidR="00B500BA">
        <w:rPr>
          <w:rFonts w:ascii="Arial" w:hAnsi="Arial" w:cs="Arial"/>
          <w:sz w:val="20"/>
          <w:szCs w:val="20"/>
        </w:rPr>
        <w:t>. P</w:t>
      </w:r>
      <w:r w:rsidR="00C05433" w:rsidRPr="00C05433">
        <w:rPr>
          <w:rFonts w:ascii="Arial" w:hAnsi="Arial" w:cs="Arial"/>
          <w:sz w:val="20"/>
          <w:szCs w:val="20"/>
        </w:rPr>
        <w:t>roto byl meziroční propad na začátku roku tak velký a nyní v říjnu a listopadu se stále drží.</w:t>
      </w:r>
      <w:r w:rsidR="00D251BC">
        <w:rPr>
          <w:rFonts w:ascii="Arial" w:hAnsi="Arial" w:cs="Arial"/>
          <w:sz w:val="20"/>
          <w:szCs w:val="20"/>
        </w:rPr>
        <w:t xml:space="preserve"> </w:t>
      </w:r>
      <w:r w:rsidR="00D251BC" w:rsidRPr="00C05433">
        <w:rPr>
          <w:rFonts w:ascii="Arial" w:hAnsi="Arial" w:cs="Arial"/>
          <w:sz w:val="20"/>
          <w:szCs w:val="20"/>
        </w:rPr>
        <w:t xml:space="preserve">Pro příští měsíc a rok 2020 </w:t>
      </w:r>
      <w:r w:rsidR="00D251BC">
        <w:rPr>
          <w:rFonts w:ascii="Arial" w:hAnsi="Arial" w:cs="Arial"/>
          <w:sz w:val="20"/>
          <w:szCs w:val="20"/>
        </w:rPr>
        <w:t>lze očekávat</w:t>
      </w:r>
      <w:r w:rsidR="00D251BC" w:rsidRPr="00C05433">
        <w:rPr>
          <w:rFonts w:ascii="Arial" w:hAnsi="Arial" w:cs="Arial"/>
          <w:sz w:val="20"/>
          <w:szCs w:val="20"/>
        </w:rPr>
        <w:t xml:space="preserve"> stabilizaci na hypotečním trhu a hlavně postupnou stabilizaci na trhu s nemovitostmi. Neočekáváme pokles cen, ale jejich růst </w:t>
      </w:r>
      <w:r w:rsidR="009676B8">
        <w:rPr>
          <w:rFonts w:ascii="Arial" w:hAnsi="Arial" w:cs="Arial"/>
          <w:sz w:val="20"/>
          <w:szCs w:val="20"/>
        </w:rPr>
        <w:t xml:space="preserve">se </w:t>
      </w:r>
      <w:r w:rsidR="00D251BC">
        <w:rPr>
          <w:rFonts w:ascii="Arial" w:hAnsi="Arial" w:cs="Arial"/>
          <w:sz w:val="20"/>
          <w:szCs w:val="20"/>
        </w:rPr>
        <w:t>kvůli</w:t>
      </w:r>
      <w:r w:rsidR="00D251BC" w:rsidRPr="00C05433">
        <w:rPr>
          <w:rFonts w:ascii="Arial" w:hAnsi="Arial" w:cs="Arial"/>
          <w:sz w:val="20"/>
          <w:szCs w:val="20"/>
        </w:rPr>
        <w:t xml:space="preserve"> snižující se poptávce výrazně zpomalí.</w:t>
      </w:r>
      <w:r w:rsidR="00D251BC">
        <w:rPr>
          <w:rFonts w:ascii="Arial" w:hAnsi="Arial" w:cs="Arial"/>
          <w:sz w:val="20"/>
          <w:szCs w:val="20"/>
        </w:rPr>
        <w:t>“</w:t>
      </w:r>
    </w:p>
    <w:p w14:paraId="0B3D3839" w14:textId="46A2A46B" w:rsidR="00D251BC" w:rsidRDefault="00D251BC" w:rsidP="00D251BC">
      <w:pPr>
        <w:rPr>
          <w:rFonts w:ascii="Arial" w:hAnsi="Arial" w:cs="Arial"/>
          <w:sz w:val="20"/>
          <w:szCs w:val="20"/>
        </w:rPr>
      </w:pPr>
    </w:p>
    <w:p w14:paraId="688A822C" w14:textId="20F12BE5" w:rsidR="00D251BC" w:rsidRDefault="00150E36" w:rsidP="00D251BC">
      <w:pPr>
        <w:rPr>
          <w:rFonts w:ascii="Arial" w:hAnsi="Arial" w:cs="Arial"/>
          <w:sz w:val="20"/>
          <w:szCs w:val="20"/>
        </w:rPr>
      </w:pPr>
      <w:r w:rsidRPr="00150E3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E73BDA4" wp14:editId="2800D2EE">
            <wp:extent cx="6635750" cy="2653485"/>
            <wp:effectExtent l="19050" t="19050" r="12700" b="13970"/>
            <wp:docPr id="5" name="Obrázek 5" descr="I:\INDEX Hypo a FixIndex\12_2019\BC_HÚ_Index_listopad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NDEX Hypo a FixIndex\12_2019\BC_HÚ_Index_listopad_2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653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12F13" w14:textId="47C50F41" w:rsidR="00C05433" w:rsidRDefault="00C05433" w:rsidP="00C05433">
      <w:pPr>
        <w:rPr>
          <w:rFonts w:ascii="Arial" w:hAnsi="Arial" w:cs="Arial"/>
          <w:sz w:val="20"/>
          <w:szCs w:val="20"/>
        </w:rPr>
      </w:pPr>
    </w:p>
    <w:p w14:paraId="00D15EFE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2B9855E4" w14:textId="108663AB" w:rsidR="008D3D3B" w:rsidRDefault="003209EF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 hlediska obliby délky fixace je ta pětiletá už v méně než polovině případů. Zhruba třetina hypotéčních úvěrů je sjednána s desetiletou fixací. Zhruba jedna pětina připadá na sedmiletý fix. Právě delší doba fixace úrokové sazby</w:t>
      </w:r>
      <w:r w:rsidR="001E2A7A">
        <w:rPr>
          <w:rFonts w:ascii="Arial" w:hAnsi="Arial" w:cs="Arial"/>
          <w:sz w:val="20"/>
          <w:szCs w:val="20"/>
        </w:rPr>
        <w:t xml:space="preserve"> v tomto roce </w:t>
      </w:r>
      <w:r w:rsidR="009676B8">
        <w:rPr>
          <w:rFonts w:ascii="Arial" w:hAnsi="Arial" w:cs="Arial"/>
          <w:sz w:val="20"/>
          <w:szCs w:val="20"/>
        </w:rPr>
        <w:t>mírně</w:t>
      </w:r>
      <w:r w:rsidR="001E2A7A">
        <w:rPr>
          <w:rFonts w:ascii="Arial" w:hAnsi="Arial" w:cs="Arial"/>
          <w:sz w:val="20"/>
          <w:szCs w:val="20"/>
        </w:rPr>
        <w:t xml:space="preserve"> převažuje.</w:t>
      </w:r>
    </w:p>
    <w:p w14:paraId="0DB0D687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5101FED5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36B29DBD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7CA6700B" w14:textId="09E18F4C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5EBA8BC4" w14:textId="41B7AB68" w:rsidR="00150E36" w:rsidRDefault="00150E36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inline distT="0" distB="0" distL="0" distR="0" wp14:anchorId="5EC34096" wp14:editId="05FCF391">
            <wp:extent cx="6629400" cy="3825240"/>
            <wp:effectExtent l="19050" t="19050" r="19050" b="22860"/>
            <wp:docPr id="8" name="Obrázek 8" descr="I:\INDEX Hypo a FixIndex\12_2019\BC_FIXIndex_listopad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NDEX Hypo a FixIndex\12_2019\BC_FIXIndex_listopad_2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25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E52226" w14:textId="77777777" w:rsidR="00150E36" w:rsidRDefault="00150E36" w:rsidP="0013512D">
      <w:pPr>
        <w:rPr>
          <w:rFonts w:ascii="Arial" w:hAnsi="Arial" w:cs="Arial"/>
          <w:sz w:val="20"/>
          <w:szCs w:val="20"/>
        </w:rPr>
      </w:pPr>
    </w:p>
    <w:p w14:paraId="7121CE3D" w14:textId="418F1E91" w:rsidR="00D8513A" w:rsidRDefault="0013512D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Broker Consulting Index hypotéčních úvěrů </w:t>
      </w:r>
      <w:r w:rsidRPr="0013512D">
        <w:rPr>
          <w:rFonts w:ascii="Arial" w:hAnsi="Arial" w:cs="Arial"/>
          <w:sz w:val="20"/>
          <w:szCs w:val="20"/>
        </w:rPr>
        <w:t>je analytický</w:t>
      </w:r>
      <w:r>
        <w:rPr>
          <w:rFonts w:ascii="Arial" w:hAnsi="Arial" w:cs="Arial"/>
          <w:sz w:val="20"/>
          <w:szCs w:val="20"/>
        </w:rPr>
        <w:t xml:space="preserve"> nástroj, který ukazuje průměr</w:t>
      </w:r>
      <w:r w:rsidRPr="0013512D">
        <w:rPr>
          <w:rFonts w:ascii="Arial" w:hAnsi="Arial" w:cs="Arial"/>
          <w:sz w:val="20"/>
          <w:szCs w:val="20"/>
        </w:rPr>
        <w:t>nou úrokovou sazbu u hypotečních úvěrů, jež zprostředkovali konzultanti Broker Consulting</w:t>
      </w:r>
      <w:r>
        <w:rPr>
          <w:rFonts w:ascii="Arial" w:hAnsi="Arial" w:cs="Arial"/>
          <w:sz w:val="20"/>
          <w:szCs w:val="20"/>
        </w:rPr>
        <w:t xml:space="preserve"> a pobočky OK POINT</w:t>
      </w:r>
      <w:r w:rsidRPr="0013512D">
        <w:rPr>
          <w:rFonts w:ascii="Arial" w:hAnsi="Arial" w:cs="Arial"/>
          <w:sz w:val="20"/>
          <w:szCs w:val="20"/>
        </w:rPr>
        <w:t xml:space="preserve"> u kteréhokoli poskytovatele hypotečních úvěrů. Jedná se o vážený aritmetický průměr, kdy hlavní vahou je objem úvěru. Tedy čím vyšší úvěr, tím jeho sazba do indexu vstupuje větší vahou. Výhodou metody výpočtu je skutečnost,</w:t>
      </w:r>
      <w:r>
        <w:rPr>
          <w:rFonts w:ascii="Arial" w:hAnsi="Arial" w:cs="Arial"/>
          <w:sz w:val="20"/>
          <w:szCs w:val="20"/>
        </w:rPr>
        <w:t xml:space="preserve"> </w:t>
      </w:r>
      <w:r w:rsidRPr="0013512D">
        <w:rPr>
          <w:rFonts w:ascii="Arial" w:hAnsi="Arial" w:cs="Arial"/>
          <w:sz w:val="20"/>
          <w:szCs w:val="20"/>
        </w:rPr>
        <w:t xml:space="preserve">že se do statistiky dostávají pouze skutečně schválené úvěry a </w:t>
      </w:r>
      <w:r>
        <w:rPr>
          <w:rFonts w:ascii="Arial" w:hAnsi="Arial" w:cs="Arial"/>
          <w:sz w:val="20"/>
          <w:szCs w:val="20"/>
        </w:rPr>
        <w:t>to</w:t>
      </w:r>
      <w:r w:rsidRPr="0013512D">
        <w:rPr>
          <w:rFonts w:ascii="Arial" w:hAnsi="Arial" w:cs="Arial"/>
          <w:sz w:val="20"/>
          <w:szCs w:val="20"/>
        </w:rPr>
        <w:t xml:space="preserve"> bez výjimky všechny. Nemůže dojít ke zkreslení informací a index není závislý na dodávkách třetích stran. V principu se index počítá ze sazeb, které jsou v danou chvíli pro daného klienta nejnižší na trhu 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</w:t>
      </w:r>
      <w:r>
        <w:rPr>
          <w:rFonts w:ascii="Arial" w:hAnsi="Arial" w:cs="Arial"/>
          <w:sz w:val="20"/>
          <w:szCs w:val="20"/>
        </w:rPr>
        <w:t>v objemu přesahující</w:t>
      </w:r>
      <w:r w:rsidR="00A00614">
        <w:rPr>
          <w:rFonts w:ascii="Arial" w:hAnsi="Arial" w:cs="Arial"/>
          <w:sz w:val="20"/>
          <w:szCs w:val="20"/>
        </w:rPr>
        <w:t xml:space="preserve"> 11 m</w:t>
      </w:r>
      <w:r>
        <w:rPr>
          <w:rFonts w:ascii="Arial" w:hAnsi="Arial" w:cs="Arial"/>
          <w:sz w:val="20"/>
          <w:szCs w:val="20"/>
        </w:rPr>
        <w:t>iliard</w:t>
      </w:r>
      <w:r w:rsidRPr="0013512D">
        <w:rPr>
          <w:rFonts w:ascii="Arial" w:hAnsi="Arial" w:cs="Arial"/>
          <w:sz w:val="20"/>
          <w:szCs w:val="20"/>
        </w:rPr>
        <w:t xml:space="preserve"> korun.</w:t>
      </w:r>
      <w:r w:rsidR="007B057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0579" w:rsidRPr="00B3074F">
        <w:rPr>
          <w:rFonts w:ascii="Arial" w:hAnsi="Arial" w:cs="Arial"/>
          <w:sz w:val="20"/>
          <w:szCs w:val="20"/>
        </w:rPr>
        <w:t>FIXIndex</w:t>
      </w:r>
      <w:proofErr w:type="spellEnd"/>
      <w:r w:rsidR="007B0579" w:rsidRPr="00B3074F">
        <w:rPr>
          <w:rFonts w:ascii="Arial" w:hAnsi="Arial" w:cs="Arial"/>
          <w:sz w:val="20"/>
          <w:szCs w:val="20"/>
        </w:rPr>
        <w:t xml:space="preserve"> sleduje procentuální podíl jednotlivých </w:t>
      </w:r>
      <w:r w:rsidR="006E1F02" w:rsidRPr="00B3074F">
        <w:rPr>
          <w:rFonts w:ascii="Arial" w:hAnsi="Arial" w:cs="Arial"/>
          <w:sz w:val="20"/>
          <w:szCs w:val="20"/>
        </w:rPr>
        <w:t>fixací úrokových sazeb (3, 5, 7 a 10 let) v celkovém objemu hypotečních úvěrů</w:t>
      </w:r>
      <w:r w:rsidR="007B0579" w:rsidRPr="00B3074F">
        <w:rPr>
          <w:rFonts w:ascii="Arial" w:hAnsi="Arial" w:cs="Arial"/>
          <w:sz w:val="20"/>
          <w:szCs w:val="20"/>
        </w:rPr>
        <w:t>.</w:t>
      </w:r>
      <w:r w:rsidR="007B0579">
        <w:rPr>
          <w:rFonts w:ascii="Arial" w:hAnsi="Arial" w:cs="Arial"/>
          <w:sz w:val="20"/>
          <w:szCs w:val="20"/>
        </w:rPr>
        <w:t xml:space="preserve"> </w:t>
      </w:r>
    </w:p>
    <w:p w14:paraId="38F1DC78" w14:textId="77777777" w:rsidR="0013512D" w:rsidRDefault="0013512D" w:rsidP="0013512D">
      <w:pPr>
        <w:rPr>
          <w:rFonts w:ascii="Arial" w:hAnsi="Arial" w:cs="Arial"/>
          <w:sz w:val="20"/>
          <w:szCs w:val="20"/>
        </w:rPr>
      </w:pPr>
    </w:p>
    <w:p w14:paraId="31A3A70F" w14:textId="77777777" w:rsidR="00D8513A" w:rsidRPr="00B244B9" w:rsidRDefault="00D8513A" w:rsidP="00270DB3">
      <w:pPr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13512D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13512D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 w:rsidR="0013512D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)</w:t>
      </w:r>
      <w:r w:rsidR="000374D7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Více informací najdete též na webu </w:t>
      </w:r>
      <w:r w:rsidR="0013512D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0374D7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6E4CBE84" w14:textId="77777777" w:rsidR="00B65A3B" w:rsidRPr="0025264B" w:rsidRDefault="00B65A3B" w:rsidP="0025264B"/>
    <w:p w14:paraId="3A13A14E" w14:textId="0EA31237" w:rsidR="00D31127" w:rsidRPr="00347557" w:rsidRDefault="009F2CB2" w:rsidP="0025264B">
      <w:pPr>
        <w:rPr>
          <w:rFonts w:ascii="Arial" w:hAnsi="Arial" w:cs="Arial"/>
          <w:b/>
          <w:sz w:val="18"/>
        </w:rPr>
      </w:pPr>
      <w:r w:rsidRPr="00347557">
        <w:rPr>
          <w:rFonts w:ascii="Arial" w:hAnsi="Arial" w:cs="Arial"/>
          <w:b/>
          <w:sz w:val="18"/>
        </w:rPr>
        <w:t>Proč je dobré index sledovat</w:t>
      </w:r>
    </w:p>
    <w:p w14:paraId="1E1FF798" w14:textId="3A39635C" w:rsidR="00D31127" w:rsidRDefault="0013512D" w:rsidP="00241313">
      <w:pPr>
        <w:rPr>
          <w:sz w:val="20"/>
        </w:rPr>
      </w:pPr>
      <w:r w:rsidRPr="0013512D">
        <w:rPr>
          <w:rFonts w:ascii="Arial" w:hAnsi="Arial" w:cs="Arial"/>
          <w:sz w:val="18"/>
        </w:rPr>
        <w:t xml:space="preserve">Broker Consulting </w:t>
      </w:r>
      <w:r w:rsidR="00177E6B">
        <w:rPr>
          <w:rFonts w:ascii="Arial" w:hAnsi="Arial" w:cs="Arial"/>
          <w:sz w:val="18"/>
        </w:rPr>
        <w:t>I</w:t>
      </w:r>
      <w:r>
        <w:rPr>
          <w:rFonts w:ascii="Arial" w:hAnsi="Arial" w:cs="Arial"/>
          <w:sz w:val="18"/>
        </w:rPr>
        <w:t>ndex hypotečních úvěrů</w:t>
      </w:r>
      <w:r w:rsidRPr="0013512D">
        <w:rPr>
          <w:rFonts w:ascii="Arial" w:hAnsi="Arial" w:cs="Arial"/>
          <w:sz w:val="18"/>
        </w:rPr>
        <w:t xml:space="preserve"> zachycuje vývoj úrokových sazeb u hypotečních úvěrů. Je praktickým indikátorem toho, zda hypoteční úvěry pro českou veřejnost zlevňují, </w:t>
      </w:r>
      <w:r>
        <w:rPr>
          <w:rFonts w:ascii="Arial" w:hAnsi="Arial" w:cs="Arial"/>
          <w:sz w:val="18"/>
        </w:rPr>
        <w:t xml:space="preserve">stagnují, </w:t>
      </w:r>
      <w:r w:rsidRPr="0013512D">
        <w:rPr>
          <w:rFonts w:ascii="Arial" w:hAnsi="Arial" w:cs="Arial"/>
          <w:sz w:val="18"/>
        </w:rPr>
        <w:t xml:space="preserve">nebo zdražují. Na rozdíl od jiných podobných indexů vychází ze </w:t>
      </w:r>
      <w:r w:rsidRPr="00B3074F">
        <w:rPr>
          <w:rFonts w:ascii="Arial" w:hAnsi="Arial" w:cs="Arial"/>
          <w:sz w:val="18"/>
        </w:rPr>
        <w:t>skutečně sjednaných</w:t>
      </w:r>
      <w:r w:rsidRPr="0013512D">
        <w:rPr>
          <w:rFonts w:ascii="Arial" w:hAnsi="Arial" w:cs="Arial"/>
          <w:sz w:val="18"/>
        </w:rPr>
        <w:t xml:space="preserve"> úvěrů napříč bankovními poskytovateli a zohledňuje výši úvěru. Obecně lze říci, že klesající trend indexu vede k vyššímu zájmu o nemovitosti a růstu jejich cen. Dlouhodobě rostoucí trend pak může předznamenávat zejména ochlazení poptávky po nemovitostech. Vzhledem k nedostatku nemovitostí v </w:t>
      </w:r>
      <w:r w:rsidR="00587B4C">
        <w:rPr>
          <w:rFonts w:ascii="Arial" w:hAnsi="Arial" w:cs="Arial"/>
          <w:sz w:val="18"/>
        </w:rPr>
        <w:t>Česku</w:t>
      </w:r>
      <w:r w:rsidRPr="0013512D">
        <w:rPr>
          <w:rFonts w:ascii="Arial" w:hAnsi="Arial" w:cs="Arial"/>
          <w:sz w:val="18"/>
        </w:rPr>
        <w:t xml:space="preserve"> ale nemusí být růst sazeb spojen s poklesem cen nemovitostí. </w:t>
      </w:r>
      <w:r w:rsidR="00587B4C">
        <w:rPr>
          <w:rFonts w:ascii="Arial" w:hAnsi="Arial" w:cs="Arial"/>
          <w:sz w:val="18"/>
        </w:rPr>
        <w:t xml:space="preserve">Broker </w:t>
      </w:r>
      <w:r w:rsidR="00587B4C" w:rsidRPr="0013512D">
        <w:rPr>
          <w:rFonts w:ascii="Arial" w:hAnsi="Arial" w:cs="Arial"/>
          <w:sz w:val="18"/>
        </w:rPr>
        <w:t xml:space="preserve">Consulting </w:t>
      </w:r>
      <w:r w:rsidR="00587B4C">
        <w:rPr>
          <w:rFonts w:ascii="Arial" w:hAnsi="Arial" w:cs="Arial"/>
          <w:sz w:val="18"/>
        </w:rPr>
        <w:t>index hypotečních úvěrů</w:t>
      </w:r>
      <w:r w:rsidRPr="0013512D">
        <w:rPr>
          <w:rFonts w:ascii="Arial" w:hAnsi="Arial" w:cs="Arial"/>
          <w:sz w:val="18"/>
        </w:rPr>
        <w:t xml:space="preserve"> důvěryhodným podkladem pro média při komunikaci praktického a pro statisíce lidí zajímavého vývoje.</w:t>
      </w:r>
      <w:r w:rsidR="009F59EE">
        <w:rPr>
          <w:sz w:val="20"/>
        </w:rPr>
        <w:tab/>
      </w:r>
    </w:p>
    <w:p w14:paraId="71B51DEF" w14:textId="4C4A58FA" w:rsidR="00FD3F50" w:rsidRDefault="00FD3F50" w:rsidP="00241313">
      <w:pPr>
        <w:rPr>
          <w:sz w:val="20"/>
        </w:rPr>
      </w:pPr>
    </w:p>
    <w:p w14:paraId="5B445219" w14:textId="670E7CC5" w:rsidR="00FD3F50" w:rsidRDefault="00FD3F50" w:rsidP="00241313">
      <w:pPr>
        <w:rPr>
          <w:sz w:val="20"/>
        </w:rPr>
      </w:pPr>
    </w:p>
    <w:p w14:paraId="31D57CCA" w14:textId="66212873" w:rsidR="00FD3F50" w:rsidRDefault="00FD3F50" w:rsidP="00241313">
      <w:pPr>
        <w:rPr>
          <w:sz w:val="20"/>
        </w:rPr>
      </w:pPr>
    </w:p>
    <w:p w14:paraId="2119A02B" w14:textId="1E76FBBA" w:rsidR="00FD3F50" w:rsidRDefault="00FD3F50" w:rsidP="00241313">
      <w:pPr>
        <w:rPr>
          <w:sz w:val="20"/>
        </w:rPr>
      </w:pPr>
    </w:p>
    <w:p w14:paraId="1295196B" w14:textId="7CFCDD68" w:rsidR="00725F77" w:rsidRDefault="00725F77" w:rsidP="00241313">
      <w:pPr>
        <w:rPr>
          <w:sz w:val="20"/>
        </w:rPr>
      </w:pPr>
    </w:p>
    <w:p w14:paraId="0BC6E030" w14:textId="67933939" w:rsidR="00725F77" w:rsidRDefault="00725F77" w:rsidP="00241313">
      <w:pPr>
        <w:rPr>
          <w:sz w:val="20"/>
        </w:rPr>
      </w:pPr>
    </w:p>
    <w:p w14:paraId="16072ADB" w14:textId="55A3D9A6" w:rsidR="00725F77" w:rsidRPr="009F59EE" w:rsidRDefault="00725F77" w:rsidP="00241313">
      <w:pPr>
        <w:rPr>
          <w:sz w:val="20"/>
        </w:rPr>
      </w:pPr>
    </w:p>
    <w:sectPr w:rsidR="00725F77" w:rsidRPr="009F59EE" w:rsidSect="008D3D3B">
      <w:type w:val="continuous"/>
      <w:pgSz w:w="11910" w:h="16840"/>
      <w:pgMar w:top="2127" w:right="740" w:bottom="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7DB07" w14:textId="77777777" w:rsidR="00B64FA8" w:rsidRDefault="00B64FA8">
      <w:r>
        <w:separator/>
      </w:r>
    </w:p>
  </w:endnote>
  <w:endnote w:type="continuationSeparator" w:id="0">
    <w:p w14:paraId="432F49C6" w14:textId="77777777" w:rsidR="00B64FA8" w:rsidRDefault="00B64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7777777" w:rsidR="00D80B6D" w:rsidRPr="00E95698" w:rsidRDefault="001B727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1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www.okrealitnisluzby.cz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7777777" w:rsidR="00D80B6D" w:rsidRPr="00E95698" w:rsidRDefault="00B64FA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2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www.okrealitnisluzby.cz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1B727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B64FA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1B7271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B64FA8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BBAF45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6EB31" w14:textId="77777777" w:rsidR="00E17539" w:rsidRDefault="00E17539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 w:rsidR="00D8513A"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 w:rsidR="00D8513A"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57898B52" w14:textId="77777777" w:rsidR="00D8513A" w:rsidRPr="00E17539" w:rsidRDefault="00D8513A">
    <w:pPr>
      <w:pStyle w:val="Zpat"/>
      <w:rPr>
        <w:rFonts w:ascii="Arial" w:hAnsi="Arial" w:cs="Arial"/>
        <w:color w:val="1D1D1B"/>
        <w:sz w:val="18"/>
        <w:szCs w:val="18"/>
      </w:rPr>
    </w:pPr>
  </w:p>
  <w:p w14:paraId="52B29E6E" w14:textId="77777777" w:rsidR="00E17539" w:rsidRPr="00D8513A" w:rsidRDefault="00D8513A" w:rsidP="00D8513A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53120" behindDoc="0" locked="0" layoutInCell="1" allowOverlap="1" wp14:anchorId="78180F02" wp14:editId="4E04B6B2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2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noProof/>
        <w:sz w:val="18"/>
        <w:szCs w:val="18"/>
        <w:lang w:bidi="ar-SA"/>
      </w:rPr>
      <w:drawing>
        <wp:anchor distT="0" distB="0" distL="0" distR="0" simplePos="0" relativeHeight="251654144" behindDoc="0" locked="0" layoutInCell="1" allowOverlap="1" wp14:anchorId="25E1972B" wp14:editId="5A71118E">
          <wp:simplePos x="0" y="0"/>
          <wp:positionH relativeFrom="page">
            <wp:posOffset>4879340</wp:posOffset>
          </wp:positionH>
          <wp:positionV relativeFrom="paragraph">
            <wp:posOffset>1905</wp:posOffset>
          </wp:positionV>
          <wp:extent cx="575945" cy="575945"/>
          <wp:effectExtent l="0" t="0" r="0" b="0"/>
          <wp:wrapNone/>
          <wp:docPr id="30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52096" behindDoc="0" locked="0" layoutInCell="1" allowOverlap="1" wp14:anchorId="3EBB529F" wp14:editId="335D7607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7539"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>Martin Novák</w:t>
    </w:r>
  </w:p>
  <w:p w14:paraId="2974D367" w14:textId="77777777" w:rsidR="00E17539" w:rsidRPr="00D8513A" w:rsidRDefault="00E17539" w:rsidP="00D8513A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 w:rsidR="00D8513A"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pacing w:val="-5"/>
        <w:sz w:val="18"/>
        <w:szCs w:val="18"/>
      </w:rPr>
      <w:t>komunikace</w:t>
    </w:r>
    <w:r w:rsidR="00D8513A" w:rsidRPr="00D8513A">
      <w:rPr>
        <w:rFonts w:ascii="Arial" w:hAnsi="Arial" w:cs="Arial"/>
        <w:color w:val="1D1D1B"/>
        <w:spacing w:val="-5"/>
        <w:sz w:val="18"/>
        <w:szCs w:val="18"/>
      </w:rPr>
      <w:tab/>
    </w:r>
    <w:r w:rsidR="00D8513A" w:rsidRPr="00D8513A">
      <w:rPr>
        <w:rFonts w:ascii="Arial" w:hAnsi="Arial" w:cs="Arial"/>
        <w:color w:val="1D1D1B"/>
        <w:spacing w:val="-5"/>
        <w:sz w:val="18"/>
        <w:szCs w:val="18"/>
      </w:rPr>
      <w:tab/>
      <w:t>hlavní analytik</w:t>
    </w:r>
  </w:p>
  <w:p w14:paraId="01DEF069" w14:textId="77777777" w:rsidR="00D8513A" w:rsidRPr="00D8513A" w:rsidRDefault="00E17539" w:rsidP="00D8513A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</w:t>
    </w:r>
    <w:r w:rsidR="00D8513A"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z w:val="18"/>
        <w:szCs w:val="18"/>
      </w:rPr>
      <w:t>599</w:t>
    </w:r>
    <w:r w:rsidR="00D8513A" w:rsidRPr="00D8513A">
      <w:rPr>
        <w:rFonts w:ascii="Arial" w:hAnsi="Arial" w:cs="Arial"/>
        <w:color w:val="1D1D1B"/>
        <w:sz w:val="18"/>
        <w:szCs w:val="18"/>
      </w:rPr>
      <w:t xml:space="preserve"> 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  <w:t>731 537 220</w:t>
    </w:r>
  </w:p>
  <w:p w14:paraId="60B9A563" w14:textId="77777777" w:rsidR="00D8513A" w:rsidRPr="00D8513A" w:rsidRDefault="001B7271" w:rsidP="00D8513A">
    <w:pPr>
      <w:spacing w:line="220" w:lineRule="exact"/>
      <w:ind w:left="403" w:firstLine="590"/>
      <w:rPr>
        <w:rFonts w:ascii="Arial" w:hAnsi="Arial" w:cs="Arial"/>
        <w:sz w:val="18"/>
        <w:szCs w:val="18"/>
      </w:rPr>
    </w:pPr>
    <w:hyperlink r:id="rId4">
      <w:r w:rsidR="00E17539"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 w:rsidR="00D8513A" w:rsidRPr="00D8513A">
      <w:rPr>
        <w:rFonts w:ascii="Arial" w:hAnsi="Arial" w:cs="Arial"/>
        <w:color w:val="1D1D1B"/>
        <w:sz w:val="18"/>
        <w:szCs w:val="18"/>
      </w:rPr>
      <w:t xml:space="preserve"> 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hyperlink r:id="rId5">
      <w:r w:rsidR="00D8513A"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  <w:t>martin.novak@bcas.cz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58D4F" w14:textId="77777777" w:rsidR="00241313" w:rsidRDefault="00241313" w:rsidP="00241313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2C8B0976" w14:textId="77777777" w:rsidR="00241313" w:rsidRPr="00E17539" w:rsidRDefault="00241313" w:rsidP="00241313">
    <w:pPr>
      <w:pStyle w:val="Zpat"/>
      <w:rPr>
        <w:rFonts w:ascii="Arial" w:hAnsi="Arial" w:cs="Arial"/>
        <w:color w:val="1D1D1B"/>
        <w:sz w:val="18"/>
        <w:szCs w:val="18"/>
      </w:rPr>
    </w:pPr>
  </w:p>
  <w:p w14:paraId="6CF6ADB6" w14:textId="77777777" w:rsidR="00241313" w:rsidRPr="00D8513A" w:rsidRDefault="00241313" w:rsidP="00241313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64384" behindDoc="0" locked="0" layoutInCell="1" allowOverlap="1" wp14:anchorId="373A53A8" wp14:editId="53A82986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1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noProof/>
        <w:sz w:val="18"/>
        <w:szCs w:val="18"/>
        <w:lang w:bidi="ar-SA"/>
      </w:rPr>
      <w:drawing>
        <wp:anchor distT="0" distB="0" distL="0" distR="0" simplePos="0" relativeHeight="251665408" behindDoc="0" locked="0" layoutInCell="1" allowOverlap="1" wp14:anchorId="754DDD2E" wp14:editId="472B364E">
          <wp:simplePos x="0" y="0"/>
          <wp:positionH relativeFrom="page">
            <wp:posOffset>4879340</wp:posOffset>
          </wp:positionH>
          <wp:positionV relativeFrom="paragraph">
            <wp:posOffset>1905</wp:posOffset>
          </wp:positionV>
          <wp:extent cx="575945" cy="575945"/>
          <wp:effectExtent l="0" t="0" r="0" b="0"/>
          <wp:wrapNone/>
          <wp:docPr id="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66432" behindDoc="0" locked="0" layoutInCell="1" allowOverlap="1" wp14:anchorId="5FCF2D45" wp14:editId="2A088F3A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2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>Martin Novák</w:t>
    </w:r>
  </w:p>
  <w:p w14:paraId="4E7301A6" w14:textId="77777777" w:rsidR="00241313" w:rsidRPr="00D8513A" w:rsidRDefault="00241313" w:rsidP="00241313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pacing w:val="-5"/>
        <w:sz w:val="18"/>
        <w:szCs w:val="18"/>
      </w:rPr>
      <w:t>komunikace</w:t>
    </w:r>
    <w:r w:rsidRPr="00D8513A">
      <w:rPr>
        <w:rFonts w:ascii="Arial" w:hAnsi="Arial" w:cs="Arial"/>
        <w:color w:val="1D1D1B"/>
        <w:spacing w:val="-5"/>
        <w:sz w:val="18"/>
        <w:szCs w:val="18"/>
      </w:rPr>
      <w:tab/>
    </w:r>
    <w:r w:rsidRPr="00D8513A">
      <w:rPr>
        <w:rFonts w:ascii="Arial" w:hAnsi="Arial" w:cs="Arial"/>
        <w:color w:val="1D1D1B"/>
        <w:spacing w:val="-5"/>
        <w:sz w:val="18"/>
        <w:szCs w:val="18"/>
      </w:rPr>
      <w:tab/>
      <w:t>hlavní analytik</w:t>
    </w:r>
  </w:p>
  <w:p w14:paraId="2D1311C0" w14:textId="77777777" w:rsidR="00241313" w:rsidRPr="00D8513A" w:rsidRDefault="00241313" w:rsidP="00241313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210 </w:t>
    </w:r>
    <w:r w:rsidRPr="00D8513A">
      <w:rPr>
        <w:rFonts w:ascii="Arial" w:hAnsi="Arial" w:cs="Arial"/>
        <w:color w:val="1D1D1B"/>
        <w:sz w:val="18"/>
        <w:szCs w:val="18"/>
      </w:rPr>
      <w:t xml:space="preserve">599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  <w:t>731 537 220</w:t>
    </w:r>
  </w:p>
  <w:p w14:paraId="4F9CC16D" w14:textId="77777777" w:rsidR="00241313" w:rsidRPr="00D8513A" w:rsidRDefault="001B7271" w:rsidP="00241313">
    <w:pPr>
      <w:spacing w:line="220" w:lineRule="exact"/>
      <w:ind w:left="403" w:firstLine="590"/>
      <w:rPr>
        <w:rFonts w:ascii="Arial" w:hAnsi="Arial" w:cs="Arial"/>
        <w:sz w:val="18"/>
        <w:szCs w:val="18"/>
      </w:rPr>
    </w:pPr>
    <w:hyperlink r:id="rId4">
      <w:r w:rsidR="00241313"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 w:rsidR="00F44AEB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hyperlink r:id="rId5">
      <w:r w:rsidR="00241313"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 w:rsidR="00F44AEB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  <w:t>martin.novak@bcas.cz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</w:p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0C2B8" w14:textId="77777777" w:rsidR="00B64FA8" w:rsidRDefault="00B64FA8">
      <w:r>
        <w:separator/>
      </w:r>
    </w:p>
  </w:footnote>
  <w:footnote w:type="continuationSeparator" w:id="0">
    <w:p w14:paraId="5AAA7E3B" w14:textId="77777777" w:rsidR="00B64FA8" w:rsidRDefault="00B64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8EED5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F6220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41F29382" w:rsidR="00B65A3B" w:rsidRPr="00B65A3B" w:rsidRDefault="001B7271" w:rsidP="001B7271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 xml:space="preserve">HYPOTEČNÍCH ÚVĚRŮ </w:t>
    </w:r>
    <w:r w:rsidRPr="0013512D">
      <w:rPr>
        <w:rFonts w:ascii="Arial" w:hAnsi="Arial" w:cs="Arial"/>
        <w:sz w:val="28"/>
        <w:szCs w:val="28"/>
      </w:rPr>
      <w:t>I</w:t>
    </w:r>
    <w:r>
      <w:rPr>
        <w:rFonts w:ascii="Arial" w:hAnsi="Arial" w:cs="Arial"/>
        <w:sz w:val="28"/>
        <w:szCs w:val="28"/>
      </w:rPr>
      <w:t xml:space="preserve"> </w:t>
    </w:r>
    <w:r w:rsidRPr="0013512D">
      <w:rPr>
        <w:rFonts w:ascii="Arial" w:hAnsi="Arial" w:cs="Arial"/>
        <w:color w:val="E52713"/>
        <w:sz w:val="28"/>
        <w:szCs w:val="28"/>
      </w:rPr>
      <w:t>FIXINDEX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0C16DE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7777777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13512D">
      <w:rPr>
        <w:rFonts w:ascii="Arial" w:hAnsi="Arial" w:cs="Arial"/>
        <w:color w:val="E52713"/>
        <w:sz w:val="28"/>
        <w:szCs w:val="28"/>
      </w:rPr>
      <w:t xml:space="preserve">HYPOTEČNÍCH ÚVĚRŮ </w:t>
    </w:r>
    <w:r w:rsidR="0013512D" w:rsidRPr="0013512D">
      <w:rPr>
        <w:rFonts w:ascii="Arial" w:hAnsi="Arial" w:cs="Arial"/>
        <w:sz w:val="28"/>
        <w:szCs w:val="28"/>
      </w:rPr>
      <w:t>I</w:t>
    </w:r>
    <w:r w:rsidR="0013512D">
      <w:rPr>
        <w:rFonts w:ascii="Arial" w:hAnsi="Arial" w:cs="Arial"/>
        <w:sz w:val="28"/>
        <w:szCs w:val="28"/>
      </w:rPr>
      <w:t xml:space="preserve"> </w:t>
    </w:r>
    <w:r w:rsidR="0013512D" w:rsidRPr="0013512D">
      <w:rPr>
        <w:rFonts w:ascii="Arial" w:hAnsi="Arial" w:cs="Arial"/>
        <w:color w:val="E52713"/>
        <w:sz w:val="28"/>
        <w:szCs w:val="28"/>
      </w:rPr>
      <w:t>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6F23"/>
    <w:rsid w:val="00031728"/>
    <w:rsid w:val="00032D94"/>
    <w:rsid w:val="000374D7"/>
    <w:rsid w:val="0005423A"/>
    <w:rsid w:val="000A3384"/>
    <w:rsid w:val="000F6249"/>
    <w:rsid w:val="0012713E"/>
    <w:rsid w:val="0013044E"/>
    <w:rsid w:val="00131F7B"/>
    <w:rsid w:val="0013512D"/>
    <w:rsid w:val="00137003"/>
    <w:rsid w:val="00150E36"/>
    <w:rsid w:val="00177E6B"/>
    <w:rsid w:val="001A54DD"/>
    <w:rsid w:val="001B1C05"/>
    <w:rsid w:val="001B7271"/>
    <w:rsid w:val="001E2A7A"/>
    <w:rsid w:val="002108A4"/>
    <w:rsid w:val="00241313"/>
    <w:rsid w:val="0025264B"/>
    <w:rsid w:val="00256CDD"/>
    <w:rsid w:val="00270DB3"/>
    <w:rsid w:val="00275A59"/>
    <w:rsid w:val="002975D8"/>
    <w:rsid w:val="003128F8"/>
    <w:rsid w:val="003209EF"/>
    <w:rsid w:val="00324A94"/>
    <w:rsid w:val="00330918"/>
    <w:rsid w:val="00340975"/>
    <w:rsid w:val="00347557"/>
    <w:rsid w:val="00394A06"/>
    <w:rsid w:val="003F73C3"/>
    <w:rsid w:val="00423831"/>
    <w:rsid w:val="00434BC6"/>
    <w:rsid w:val="00445D0A"/>
    <w:rsid w:val="0046226D"/>
    <w:rsid w:val="00587B4C"/>
    <w:rsid w:val="005B13F7"/>
    <w:rsid w:val="006377E9"/>
    <w:rsid w:val="00650D9C"/>
    <w:rsid w:val="00667B93"/>
    <w:rsid w:val="00681566"/>
    <w:rsid w:val="006E1F02"/>
    <w:rsid w:val="006F262E"/>
    <w:rsid w:val="00725F77"/>
    <w:rsid w:val="007B0579"/>
    <w:rsid w:val="007B0DF8"/>
    <w:rsid w:val="0080704C"/>
    <w:rsid w:val="00876968"/>
    <w:rsid w:val="008A04D3"/>
    <w:rsid w:val="008D3D3B"/>
    <w:rsid w:val="00915ADA"/>
    <w:rsid w:val="00960235"/>
    <w:rsid w:val="009676B8"/>
    <w:rsid w:val="009A60E8"/>
    <w:rsid w:val="009C0ECA"/>
    <w:rsid w:val="009D556F"/>
    <w:rsid w:val="009E317D"/>
    <w:rsid w:val="009F162B"/>
    <w:rsid w:val="009F2CB2"/>
    <w:rsid w:val="009F59EE"/>
    <w:rsid w:val="00A00614"/>
    <w:rsid w:val="00A36D79"/>
    <w:rsid w:val="00AA1C17"/>
    <w:rsid w:val="00AA3C5C"/>
    <w:rsid w:val="00B166D7"/>
    <w:rsid w:val="00B244B9"/>
    <w:rsid w:val="00B3074F"/>
    <w:rsid w:val="00B43417"/>
    <w:rsid w:val="00B447D9"/>
    <w:rsid w:val="00B500BA"/>
    <w:rsid w:val="00B64FA8"/>
    <w:rsid w:val="00B65A3B"/>
    <w:rsid w:val="00B95EBA"/>
    <w:rsid w:val="00BB6E6E"/>
    <w:rsid w:val="00BC30D1"/>
    <w:rsid w:val="00BE34DD"/>
    <w:rsid w:val="00C05433"/>
    <w:rsid w:val="00C64B40"/>
    <w:rsid w:val="00CA1BD9"/>
    <w:rsid w:val="00CD3324"/>
    <w:rsid w:val="00D01832"/>
    <w:rsid w:val="00D251BC"/>
    <w:rsid w:val="00D31127"/>
    <w:rsid w:val="00D80B6D"/>
    <w:rsid w:val="00D8513A"/>
    <w:rsid w:val="00E17539"/>
    <w:rsid w:val="00E67800"/>
    <w:rsid w:val="00F44AEB"/>
    <w:rsid w:val="00F45620"/>
    <w:rsid w:val="00F739AD"/>
    <w:rsid w:val="00F92B15"/>
    <w:rsid w:val="00FB551F"/>
    <w:rsid w:val="00FD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1920B6"/>
  <w15:docId w15:val="{E3372840-0219-4C59-AE16-2133D824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okpointy/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786541/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roker.Consulting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10" Type="http://schemas.openxmlformats.org/officeDocument/2006/relationships/hyperlink" Target="http://www.okpointy.cz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linkedin.com/company/10668151/" TargetMode="Externa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okrealitnisluzby.cz/" TargetMode="External"/><Relationship Id="rId1" Type="http://schemas.openxmlformats.org/officeDocument/2006/relationships/hyperlink" Target="http://www.okrealitnisluzby.cz/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viola.bastyrova@bcas.cz" TargetMode="External"/><Relationship Id="rId4" Type="http://schemas.openxmlformats.org/officeDocument/2006/relationships/hyperlink" Target="mailto:jan.lener@bcas.cz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viola.bastyrova@bcas.cz" TargetMode="External"/><Relationship Id="rId4" Type="http://schemas.openxmlformats.org/officeDocument/2006/relationships/hyperlink" Target="mailto:jan.lener@b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E70EE-B9CB-4217-84A8-1CC6F3459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922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Viola Baštýřová</cp:lastModifiedBy>
  <cp:revision>10</cp:revision>
  <dcterms:created xsi:type="dcterms:W3CDTF">2019-12-06T15:07:00Z</dcterms:created>
  <dcterms:modified xsi:type="dcterms:W3CDTF">2019-12-13T10:37:00Z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