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7A22" w14:textId="16ABA6B7" w:rsidR="00194138" w:rsidRDefault="006A2B9A" w:rsidP="002336F0">
      <w:pPr>
        <w:jc w:val="center"/>
        <w:rPr>
          <w:rStyle w:val="dn"/>
          <w:rFonts w:ascii="Arial" w:hAnsi="Arial"/>
          <w:b/>
          <w:bCs/>
          <w:sz w:val="24"/>
          <w:szCs w:val="24"/>
          <w:lang w:val="cs-CZ"/>
        </w:rPr>
      </w:pPr>
      <w:r>
        <w:rPr>
          <w:rStyle w:val="dn"/>
          <w:rFonts w:ascii="Arial" w:hAnsi="Arial"/>
          <w:b/>
          <w:bCs/>
          <w:sz w:val="24"/>
          <w:szCs w:val="24"/>
          <w:lang w:val="cs-CZ"/>
        </w:rPr>
        <w:t xml:space="preserve">Jiří Váchal, analytik neživotního pojištění </w:t>
      </w:r>
      <w:r w:rsidR="00C27AB4">
        <w:rPr>
          <w:rStyle w:val="dn"/>
          <w:rFonts w:ascii="Arial" w:hAnsi="Arial"/>
          <w:b/>
          <w:bCs/>
          <w:sz w:val="24"/>
          <w:szCs w:val="24"/>
          <w:lang w:val="cs-CZ"/>
        </w:rPr>
        <w:t>Broker Consulting:</w:t>
      </w:r>
      <w:r w:rsidR="00194138">
        <w:rPr>
          <w:rStyle w:val="dn"/>
          <w:rFonts w:ascii="Arial" w:hAnsi="Arial"/>
          <w:b/>
          <w:bCs/>
          <w:sz w:val="24"/>
          <w:szCs w:val="24"/>
          <w:lang w:val="cs-CZ"/>
        </w:rPr>
        <w:t xml:space="preserve"> </w:t>
      </w:r>
    </w:p>
    <w:p w14:paraId="08F01C32" w14:textId="77777777" w:rsidR="003F15AC" w:rsidRDefault="003F15AC" w:rsidP="003F15AC">
      <w:pPr>
        <w:jc w:val="center"/>
        <w:rPr>
          <w:rStyle w:val="dn"/>
          <w:rFonts w:ascii="Arial" w:hAnsi="Arial"/>
          <w:b/>
          <w:bCs/>
          <w:sz w:val="24"/>
          <w:szCs w:val="24"/>
          <w:lang w:val="cs-CZ"/>
        </w:rPr>
      </w:pPr>
      <w:r w:rsidRPr="003F15AC">
        <w:rPr>
          <w:rStyle w:val="dn"/>
          <w:rFonts w:ascii="Arial" w:hAnsi="Arial"/>
          <w:b/>
          <w:bCs/>
          <w:sz w:val="24"/>
          <w:szCs w:val="24"/>
          <w:lang w:val="cs-CZ"/>
        </w:rPr>
        <w:t xml:space="preserve">Zima </w:t>
      </w:r>
      <w:r>
        <w:rPr>
          <w:rStyle w:val="dn"/>
          <w:rFonts w:ascii="Arial" w:hAnsi="Arial"/>
          <w:b/>
          <w:bCs/>
          <w:sz w:val="24"/>
          <w:szCs w:val="24"/>
          <w:lang w:val="cs-CZ"/>
        </w:rPr>
        <w:t>a</w:t>
      </w:r>
      <w:r w:rsidRPr="003F15AC">
        <w:rPr>
          <w:rStyle w:val="dn"/>
          <w:rFonts w:ascii="Arial" w:hAnsi="Arial"/>
          <w:b/>
          <w:bCs/>
          <w:sz w:val="24"/>
          <w:szCs w:val="24"/>
          <w:lang w:val="cs-CZ"/>
        </w:rPr>
        <w:t xml:space="preserve"> její specifické škody</w:t>
      </w:r>
      <w:r>
        <w:rPr>
          <w:rStyle w:val="dn"/>
          <w:rFonts w:ascii="Arial" w:hAnsi="Arial"/>
          <w:b/>
          <w:bCs/>
          <w:sz w:val="24"/>
          <w:szCs w:val="24"/>
          <w:lang w:val="cs-CZ"/>
        </w:rPr>
        <w:t>, j</w:t>
      </w:r>
      <w:r w:rsidRPr="003F15AC">
        <w:rPr>
          <w:rStyle w:val="dn"/>
          <w:rFonts w:ascii="Arial" w:hAnsi="Arial"/>
          <w:b/>
          <w:bCs/>
          <w:sz w:val="24"/>
          <w:szCs w:val="24"/>
          <w:lang w:val="cs-CZ"/>
        </w:rPr>
        <w:t>ak se proti nim pojistit?</w:t>
      </w:r>
    </w:p>
    <w:p w14:paraId="6218AB5D" w14:textId="033C8F9E" w:rsidR="000E3F47" w:rsidRDefault="003F15AC" w:rsidP="003F15AC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bookmarkStart w:id="0" w:name="_GoBack"/>
      <w:r w:rsidRPr="003F15AC">
        <w:rPr>
          <w:rStyle w:val="dn"/>
          <w:rFonts w:ascii="Arial" w:hAnsi="Arial"/>
          <w:b/>
          <w:bCs/>
          <w:sz w:val="20"/>
          <w:szCs w:val="18"/>
          <w:lang w:val="cs-CZ"/>
        </w:rPr>
        <w:t>Slyšíte to také? Skučící meluzína, ledové krůpěje se opírají do oken, padají první sněhové vločky. Nebo už chumelenice? Zima je</w:t>
      </w:r>
      <w:r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 téměř</w:t>
      </w:r>
      <w:r w:rsidRPr="003F15AC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 tu. Pohádkově bílé ledové království. Děti se těší na sáňkování, lyžování, koulování a další zimní radovánky. I my se těšíme na lyže a procházky zasněženou krajinou.</w:t>
      </w:r>
      <w:r w:rsidR="000E3F47" w:rsidRPr="000E3F47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 </w:t>
      </w:r>
    </w:p>
    <w:p w14:paraId="7876BDC0" w14:textId="156EDB43" w:rsidR="003F15AC" w:rsidRPr="003F15AC" w:rsidRDefault="003F15AC" w:rsidP="003F15AC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Sníh, mráz a led nám však přináš</w:t>
      </w:r>
      <w:r>
        <w:rPr>
          <w:rStyle w:val="dn"/>
          <w:rFonts w:ascii="Arial" w:hAnsi="Arial"/>
          <w:bCs/>
          <w:sz w:val="20"/>
          <w:szCs w:val="18"/>
          <w:lang w:val="cs-CZ"/>
        </w:rPr>
        <w:t>ej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í řadu rizik spojených se škodami specifickými </w:t>
      </w:r>
      <w:r>
        <w:rPr>
          <w:rStyle w:val="dn"/>
          <w:rFonts w:ascii="Arial" w:hAnsi="Arial"/>
          <w:bCs/>
          <w:sz w:val="20"/>
          <w:szCs w:val="18"/>
          <w:lang w:val="cs-CZ"/>
        </w:rPr>
        <w:t>právě pro toto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období. Je třeba se na tuto situaci připravit. Proti většině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 situací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je možné se i pojistit.</w:t>
      </w:r>
    </w:p>
    <w:p w14:paraId="6A6A1603" w14:textId="77777777" w:rsidR="003F15AC" w:rsidRPr="003F15AC" w:rsidRDefault="003F15AC" w:rsidP="003F15AC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/>
          <w:bCs/>
          <w:sz w:val="20"/>
          <w:szCs w:val="18"/>
          <w:lang w:val="cs-CZ"/>
        </w:rPr>
        <w:t>Vodovodní škody</w:t>
      </w:r>
    </w:p>
    <w:p w14:paraId="02DB4FE1" w14:textId="23B55A18" w:rsidR="003F15AC" w:rsidRPr="003F15AC" w:rsidRDefault="003F15AC" w:rsidP="003F15AC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Vzhledem k výkyvům teploty dochází častěji k prasknutí vodovodního potrubí.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 Věřím, že své rekreační obydlí, případně stálé obydlí, které př</w:t>
      </w:r>
      <w:r w:rsid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es zimu opouštíte na delší dobu, 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máte zazimován</w:t>
      </w:r>
      <w:r>
        <w:rPr>
          <w:rStyle w:val="dn"/>
          <w:rFonts w:ascii="Arial" w:hAnsi="Arial"/>
          <w:bCs/>
          <w:sz w:val="20"/>
          <w:szCs w:val="18"/>
          <w:lang w:val="cs-CZ"/>
        </w:rPr>
        <w:t>o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, voda vypuštěn</w:t>
      </w:r>
      <w:r>
        <w:rPr>
          <w:rStyle w:val="dn"/>
          <w:rFonts w:ascii="Arial" w:hAnsi="Arial"/>
          <w:bCs/>
          <w:sz w:val="20"/>
          <w:szCs w:val="18"/>
          <w:lang w:val="cs-CZ"/>
        </w:rPr>
        <w:t>u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, přívody 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jsou 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uzavřeny a v topném systému je nemrznoucí směs. Pokud objekt opouštíte na více než tři dny</w:t>
      </w:r>
      <w:r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je nutné tyto úkony stoprocentně provést. Mimochodem únik vody patří mezi nejčastější pojistné události vůbec</w:t>
      </w:r>
      <w:r>
        <w:rPr>
          <w:rStyle w:val="dn"/>
          <w:rFonts w:ascii="Arial" w:hAnsi="Arial"/>
          <w:bCs/>
          <w:sz w:val="20"/>
          <w:szCs w:val="18"/>
          <w:lang w:val="cs-CZ"/>
        </w:rPr>
        <w:t>.</w:t>
      </w:r>
    </w:p>
    <w:p w14:paraId="32941599" w14:textId="5435B725" w:rsidR="003F15AC" w:rsidRPr="003F15AC" w:rsidRDefault="003F15AC" w:rsidP="003F15AC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Proti zmíněným škodám se lze chránit pojištěním domácnosti a nemovitosti. Nepodceňujte však zimní přípravu a zabezpečení, jinak 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se 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při vyřizování škody můžete dočkat nepříjemné skutečnosti v podobě krácení úhrady při plnění pojistné události. V pojis</w:t>
      </w:r>
      <w:r>
        <w:rPr>
          <w:rStyle w:val="dn"/>
          <w:rFonts w:ascii="Arial" w:hAnsi="Arial"/>
          <w:bCs/>
          <w:sz w:val="20"/>
          <w:szCs w:val="18"/>
          <w:lang w:val="cs-CZ"/>
        </w:rPr>
        <w:t>tných podmínkách najdete větu: „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Jste povinni zajistit, aby vodovodní zařízení v nepoužívané budově bylo vyprázdněno a udržováno vyprázdněné a přívod vo</w:t>
      </w:r>
      <w:r>
        <w:rPr>
          <w:rStyle w:val="dn"/>
          <w:rFonts w:ascii="Arial" w:hAnsi="Arial"/>
          <w:bCs/>
          <w:sz w:val="20"/>
          <w:szCs w:val="18"/>
          <w:lang w:val="cs-CZ"/>
        </w:rPr>
        <w:t>dy byl řádně uzavřen“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.</w:t>
      </w:r>
    </w:p>
    <w:p w14:paraId="760D6486" w14:textId="2BBFE574" w:rsidR="003F15AC" w:rsidRPr="003F15AC" w:rsidRDefault="003F15AC" w:rsidP="003F15AC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V případě poškození někoho jiného (souseda, náhodnou osobu) vyteklou nebo zamrzlou vodou slouží pojištění občanské odpovědnosti. Pojistit lze i výdaje za ztrátu vody (vodné a stočné)</w:t>
      </w:r>
      <w:r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nebo havárii rozvodů nad rámec. </w:t>
      </w:r>
    </w:p>
    <w:p w14:paraId="0E2C3BBB" w14:textId="77777777" w:rsidR="003F15AC" w:rsidRPr="003F15AC" w:rsidRDefault="003F15AC" w:rsidP="003F15AC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V případě řešení pojistné události se držte těchto obecných zásad:</w:t>
      </w:r>
    </w:p>
    <w:p w14:paraId="51FC378B" w14:textId="2E20E57D" w:rsidR="003F15AC" w:rsidRPr="003F15AC" w:rsidRDefault="003F15AC" w:rsidP="003F15AC">
      <w:pPr>
        <w:pStyle w:val="Odstavecseseznamem"/>
        <w:numPr>
          <w:ilvl w:val="0"/>
          <w:numId w:val="12"/>
        </w:num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Zdokument</w:t>
      </w:r>
      <w:r>
        <w:rPr>
          <w:rStyle w:val="dn"/>
          <w:rFonts w:ascii="Arial" w:hAnsi="Arial"/>
          <w:bCs/>
          <w:sz w:val="20"/>
          <w:szCs w:val="18"/>
          <w:lang w:val="cs-CZ"/>
        </w:rPr>
        <w:t>ujte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místo škody co nejvíce </w:t>
      </w:r>
    </w:p>
    <w:p w14:paraId="53EBBBB1" w14:textId="228219A9" w:rsidR="003F15AC" w:rsidRPr="003F15AC" w:rsidRDefault="003F15AC" w:rsidP="003F15AC">
      <w:pPr>
        <w:pStyle w:val="Odstavecseseznamem"/>
        <w:numPr>
          <w:ilvl w:val="0"/>
          <w:numId w:val="12"/>
        </w:numPr>
        <w:rPr>
          <w:rStyle w:val="dn"/>
          <w:rFonts w:ascii="Arial" w:hAnsi="Arial"/>
          <w:bCs/>
          <w:sz w:val="20"/>
          <w:szCs w:val="18"/>
          <w:lang w:val="cs-CZ"/>
        </w:rPr>
      </w:pPr>
      <w:r>
        <w:rPr>
          <w:rStyle w:val="dn"/>
          <w:rFonts w:ascii="Arial" w:hAnsi="Arial"/>
          <w:bCs/>
          <w:sz w:val="20"/>
          <w:szCs w:val="18"/>
          <w:lang w:val="cs-CZ"/>
        </w:rPr>
        <w:t>Zajistě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t</w:t>
      </w:r>
      <w:r>
        <w:rPr>
          <w:rStyle w:val="dn"/>
          <w:rFonts w:ascii="Arial" w:hAnsi="Arial"/>
          <w:bCs/>
          <w:sz w:val="20"/>
          <w:szCs w:val="18"/>
          <w:lang w:val="cs-CZ"/>
        </w:rPr>
        <w:t>e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svědky události a ulož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te si 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jejich kontakty</w:t>
      </w:r>
    </w:p>
    <w:p w14:paraId="158C5A3B" w14:textId="52AC46C3" w:rsidR="003F15AC" w:rsidRPr="003F15AC" w:rsidRDefault="003F15AC" w:rsidP="003F15AC">
      <w:pPr>
        <w:pStyle w:val="Odstavecseseznamem"/>
        <w:numPr>
          <w:ilvl w:val="0"/>
          <w:numId w:val="12"/>
        </w:num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Nárokujte škodu co nejdříve</w:t>
      </w:r>
    </w:p>
    <w:p w14:paraId="446E569C" w14:textId="1C217802" w:rsidR="003F15AC" w:rsidRPr="003F15AC" w:rsidRDefault="003F15AC" w:rsidP="003F15AC">
      <w:pPr>
        <w:pStyle w:val="Odstavecseseznamem"/>
        <w:numPr>
          <w:ilvl w:val="0"/>
          <w:numId w:val="12"/>
        </w:numPr>
        <w:rPr>
          <w:rStyle w:val="dn"/>
          <w:rFonts w:ascii="Arial" w:hAnsi="Arial"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>V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 případě újmy na zdraví doložte</w:t>
      </w:r>
      <w:r w:rsidRPr="003F15AC">
        <w:rPr>
          <w:rStyle w:val="dn"/>
          <w:rFonts w:ascii="Arial" w:hAnsi="Arial"/>
          <w:bCs/>
          <w:sz w:val="20"/>
          <w:szCs w:val="18"/>
          <w:lang w:val="cs-CZ"/>
        </w:rPr>
        <w:t xml:space="preserve"> lékařskou zprávu</w:t>
      </w:r>
    </w:p>
    <w:p w14:paraId="347E2898" w14:textId="77777777" w:rsidR="003F15AC" w:rsidRPr="003F15AC" w:rsidRDefault="003F15AC" w:rsidP="003F15AC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3F15AC">
        <w:rPr>
          <w:rStyle w:val="dn"/>
          <w:rFonts w:ascii="Arial" w:hAnsi="Arial"/>
          <w:b/>
          <w:bCs/>
          <w:sz w:val="20"/>
          <w:szCs w:val="18"/>
          <w:lang w:val="cs-CZ"/>
        </w:rPr>
        <w:t>Pád sněhu nebo rampouchů</w:t>
      </w:r>
    </w:p>
    <w:p w14:paraId="685A6E89" w14:textId="233242EF" w:rsidR="00DA23AD" w:rsidRP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Za tyto události odpovídají majitelé nemovitosti. Ti jsou povinni svou péčí případům událostem předcházet. Pokud bude tímto způsobena škoda, pojišťovna zkoumá, zda majitel něco nezanedbal a zda bylo možné takový vývoj předpokládat. Pomocníkem jsou zachytávače ledu a sněhu, případně si </w:t>
      </w:r>
      <w:r w:rsidR="00071309">
        <w:rPr>
          <w:rStyle w:val="dn"/>
          <w:rFonts w:ascii="Arial" w:hAnsi="Arial"/>
          <w:bCs/>
          <w:sz w:val="20"/>
          <w:szCs w:val="18"/>
          <w:lang w:val="cs-CZ"/>
        </w:rPr>
        <w:t xml:space="preserve">lze 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objednat odklizení specializovanou společností a označit nebezpečný úsek.</w:t>
      </w:r>
    </w:p>
    <w:p w14:paraId="704F71AE" w14:textId="1C4F9FE2" w:rsidR="00DA23AD" w:rsidRP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Pokud majitel (správce) dodrží všechny bezpečnostní zásady</w:t>
      </w:r>
      <w:r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 a přesto dojde ke škodě, může nárokovat náhradu z pojištění odpovědnosti.</w:t>
      </w:r>
    </w:p>
    <w:p w14:paraId="68EA7475" w14:textId="77777777" w:rsidR="00DA23AD" w:rsidRPr="00DA23AD" w:rsidRDefault="00DA23AD" w:rsidP="00DA23AD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/>
          <w:bCs/>
          <w:sz w:val="20"/>
          <w:szCs w:val="18"/>
          <w:lang w:val="cs-CZ"/>
        </w:rPr>
        <w:t>Úraz na zledovatělém chodníku</w:t>
      </w:r>
    </w:p>
    <w:p w14:paraId="058297F4" w14:textId="34109B82" w:rsidR="00DA23AD" w:rsidRP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Podle zákona o p</w:t>
      </w:r>
      <w:r>
        <w:rPr>
          <w:rStyle w:val="dn"/>
          <w:rFonts w:ascii="Arial" w:hAnsi="Arial"/>
          <w:bCs/>
          <w:sz w:val="20"/>
          <w:szCs w:val="18"/>
          <w:lang w:val="cs-CZ"/>
        </w:rPr>
        <w:t>ozemních komunikacích za tzv. „závadu ve schůdnosti“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 odpovídá vlastník, ve většině případů obec. Zde opět pomůže pojištění odpovědnosti.</w:t>
      </w:r>
    </w:p>
    <w:p w14:paraId="7E0C313F" w14:textId="2CED05B6" w:rsidR="00DA23AD" w:rsidRP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lastRenderedPageBreak/>
        <w:t>Samoz</w:t>
      </w:r>
      <w:r w:rsidR="00071309">
        <w:rPr>
          <w:rStyle w:val="dn"/>
          <w:rFonts w:ascii="Arial" w:hAnsi="Arial"/>
          <w:bCs/>
          <w:sz w:val="20"/>
          <w:szCs w:val="18"/>
          <w:lang w:val="cs-CZ"/>
        </w:rPr>
        <w:t xml:space="preserve">řejmě platí, že chodec se musí 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chovat rozumně a předvídat zhoršené podmínky vzhledem k počasí. Pojišťovna vyplatí náhradu v případě, kdy se prokáže nemožnost odstranit závadu, zmírnit nebo na ni upozornit. V případě úrazu poškozený může hlásit škodu své pojišťovně </w:t>
      </w:r>
      <w:r>
        <w:rPr>
          <w:rStyle w:val="dn"/>
          <w:rFonts w:ascii="Arial" w:hAnsi="Arial"/>
          <w:bCs/>
          <w:sz w:val="20"/>
          <w:szCs w:val="18"/>
          <w:lang w:val="cs-CZ"/>
        </w:rPr>
        <w:t>a nárokovat přes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 úrazové pojištění.</w:t>
      </w:r>
    </w:p>
    <w:p w14:paraId="4C443AF8" w14:textId="77777777" w:rsidR="00DA23AD" w:rsidRPr="00DA23AD" w:rsidRDefault="00DA23AD" w:rsidP="00DA23AD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/>
          <w:bCs/>
          <w:sz w:val="20"/>
          <w:szCs w:val="18"/>
          <w:lang w:val="cs-CZ"/>
        </w:rPr>
        <w:t>Polámání stromů námrazou nebo tíhou sněhu</w:t>
      </w:r>
    </w:p>
    <w:p w14:paraId="70971841" w14:textId="77777777" w:rsidR="00DA23AD" w:rsidRP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Pád stromů a větví, které poškodí váš majetek, obyčejně uplatníte z pojištění nemovitosti. V určitých případech je možné využít havarijní pojištění vozidla.</w:t>
      </w:r>
    </w:p>
    <w:p w14:paraId="4080F780" w14:textId="77777777" w:rsid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Pokud však strom či větve z vašeho pozemku skončí u souseda a tam tak poškodí majetek jiné osoby, lze škodu řešit přes pojištění občanské odpovědnosti.</w:t>
      </w:r>
    </w:p>
    <w:p w14:paraId="476CA4FD" w14:textId="4EC19FA4" w:rsidR="00DA23AD" w:rsidRPr="00DA23AD" w:rsidRDefault="00DA23AD" w:rsidP="00DA23AD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/>
          <w:bCs/>
          <w:sz w:val="20"/>
          <w:szCs w:val="18"/>
          <w:lang w:val="cs-CZ"/>
        </w:rPr>
        <w:t>Ještě pár slov k provozu auta…</w:t>
      </w:r>
    </w:p>
    <w:p w14:paraId="2E02525B" w14:textId="5996D279" w:rsidR="00DA23AD" w:rsidRP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Nedbale uchycené lyže, snowboardy, saně či jiné předměty převážené na střešním nosiči</w:t>
      </w:r>
      <w:r>
        <w:rPr>
          <w:rStyle w:val="dn"/>
          <w:rFonts w:ascii="Arial" w:hAnsi="Arial"/>
          <w:bCs/>
          <w:sz w:val="20"/>
          <w:szCs w:val="18"/>
          <w:lang w:val="cs-CZ"/>
        </w:rPr>
        <w:t>,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 ale i uvnitř auta, neopatrnost v parkování </w:t>
      </w:r>
      <w:r>
        <w:rPr>
          <w:rStyle w:val="dn"/>
          <w:rFonts w:ascii="Arial" w:hAnsi="Arial"/>
          <w:bCs/>
          <w:sz w:val="20"/>
          <w:szCs w:val="18"/>
          <w:lang w:val="cs-CZ"/>
        </w:rPr>
        <w:t>na ledu či sněhu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, poškození kapoty či skla pádem ledu či sněhu ze střechy, krádeže zavazadel a lyžařského vybavení, hazardní jízda na zasněžené vozovce na letních pneumatikách, jízda přes zamrzlé rybníky či nádrže bez kontroly pevnosti… To je výčet nejčastějších příčin k pojistným událostem specifických pro zimní období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, na které by si měli řidiči a provozovatelé vozidel dávat pozor. Zbytečně se výše uvedeným situacím nevystavovat, případné škody by pojištění nemuselo krýt z důvodu nedbalosti. </w:t>
      </w:r>
    </w:p>
    <w:p w14:paraId="48DB4355" w14:textId="77777777" w:rsidR="00DA23AD" w:rsidRPr="00DA23AD" w:rsidRDefault="00DA23AD" w:rsidP="00DA23AD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/>
          <w:bCs/>
          <w:sz w:val="20"/>
          <w:szCs w:val="18"/>
          <w:lang w:val="cs-CZ"/>
        </w:rPr>
        <w:t xml:space="preserve">Chytrá rada na závěr </w:t>
      </w:r>
    </w:p>
    <w:p w14:paraId="5ABD9B75" w14:textId="709BACD1" w:rsidR="00DA23AD" w:rsidRDefault="00DA23AD" w:rsidP="00DA23AD">
      <w:pPr>
        <w:rPr>
          <w:rStyle w:val="dn"/>
          <w:rFonts w:ascii="Arial" w:hAnsi="Arial"/>
          <w:bCs/>
          <w:sz w:val="20"/>
          <w:szCs w:val="18"/>
          <w:lang w:val="cs-CZ"/>
        </w:rPr>
      </w:pP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>Překontrolujte si své pojistné smlouvy, zda máte dostatečné krytí v případě pojištění občanské odpovědnosti (vztahuje se na všechny členy domácnosti včetně vašich čtyřnohých mazlíčků), odpovědnosti z vlastnictví nemovitosti, pojištění</w:t>
      </w:r>
      <w:r>
        <w:rPr>
          <w:rStyle w:val="dn"/>
          <w:rFonts w:ascii="Arial" w:hAnsi="Arial"/>
          <w:bCs/>
          <w:sz w:val="20"/>
          <w:szCs w:val="18"/>
          <w:lang w:val="cs-CZ"/>
        </w:rPr>
        <w:t xml:space="preserve"> nemovitosti a domácnosti, atd.</w:t>
      </w:r>
      <w:r w:rsidRPr="00DA23AD">
        <w:rPr>
          <w:rStyle w:val="dn"/>
          <w:rFonts w:ascii="Arial" w:hAnsi="Arial"/>
          <w:bCs/>
          <w:sz w:val="20"/>
          <w:szCs w:val="18"/>
          <w:lang w:val="cs-CZ"/>
        </w:rPr>
        <w:t xml:space="preserve"> V každém případě doporučuji se za každých okolností snažit předcházet nepříjemným situacím! Nepodceňovat a nezanedbávat nástrahy, které si na nás zimní období přichystá.</w:t>
      </w:r>
    </w:p>
    <w:p w14:paraId="3EF34B44" w14:textId="2EA3BE05" w:rsidR="00307FE2" w:rsidRPr="0093430C" w:rsidRDefault="001B1FCD" w:rsidP="00DA23AD">
      <w:pPr>
        <w:rPr>
          <w:rStyle w:val="dn"/>
          <w:rFonts w:ascii="Arial" w:hAnsi="Arial"/>
          <w:b/>
          <w:bCs/>
          <w:sz w:val="20"/>
          <w:szCs w:val="18"/>
          <w:lang w:val="cs-CZ"/>
        </w:rPr>
      </w:pPr>
      <w:r w:rsidRPr="0093430C">
        <w:rPr>
          <w:rStyle w:val="dn"/>
          <w:rFonts w:ascii="Arial" w:hAnsi="Arial"/>
          <w:b/>
          <w:bCs/>
          <w:sz w:val="20"/>
          <w:szCs w:val="18"/>
          <w:lang w:val="cs-CZ"/>
        </w:rPr>
        <w:t>K</w:t>
      </w:r>
      <w:r w:rsidR="00427E10" w:rsidRPr="00812D56">
        <w:rPr>
          <w:rStyle w:val="dn"/>
          <w:rFonts w:ascii="Arial" w:hAnsi="Arial"/>
          <w:b/>
          <w:bCs/>
          <w:sz w:val="18"/>
          <w:szCs w:val="18"/>
          <w:lang w:val="cs-CZ"/>
        </w:rPr>
        <w:t>ontakt pro média</w:t>
      </w:r>
    </w:p>
    <w:p w14:paraId="169B56CF" w14:textId="24899B01" w:rsidR="00307FE2" w:rsidRPr="00812D56" w:rsidRDefault="00427E10">
      <w:pPr>
        <w:spacing w:after="0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>Viola Baštýřová</w:t>
      </w:r>
    </w:p>
    <w:p w14:paraId="605DF447" w14:textId="6608C086" w:rsidR="00307FE2" w:rsidRPr="00812D56" w:rsidRDefault="00427E10">
      <w:pPr>
        <w:spacing w:after="0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>specialistka externí komunikace Broker Consulting</w:t>
      </w:r>
    </w:p>
    <w:p w14:paraId="0F7120A9" w14:textId="77777777" w:rsidR="00307FE2" w:rsidRPr="00812D56" w:rsidRDefault="00427E10">
      <w:pPr>
        <w:spacing w:after="0"/>
        <w:rPr>
          <w:rStyle w:val="dn"/>
          <w:rFonts w:ascii="Arial" w:eastAsia="Arial" w:hAnsi="Arial" w:cs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>M: +420 776 210 599</w:t>
      </w:r>
    </w:p>
    <w:p w14:paraId="01FEB735" w14:textId="77777777" w:rsidR="00307FE2" w:rsidRDefault="00427E10">
      <w:pPr>
        <w:spacing w:after="0"/>
        <w:rPr>
          <w:rStyle w:val="dn"/>
          <w:rFonts w:ascii="Arial" w:hAnsi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E: </w:t>
      </w:r>
      <w:hyperlink r:id="rId7" w:history="1">
        <w:r w:rsidR="00D60275" w:rsidRPr="00B65803">
          <w:rPr>
            <w:rStyle w:val="Hypertextovodkaz"/>
            <w:rFonts w:ascii="Arial" w:hAnsi="Arial"/>
            <w:sz w:val="18"/>
            <w:szCs w:val="18"/>
            <w:lang w:val="cs-CZ"/>
          </w:rPr>
          <w:t>tisk@bcas.cz</w:t>
        </w:r>
      </w:hyperlink>
    </w:p>
    <w:p w14:paraId="23C72E7E" w14:textId="77777777" w:rsidR="00307FE2" w:rsidRPr="00812D56" w:rsidRDefault="00307FE2">
      <w:pPr>
        <w:spacing w:after="120"/>
        <w:jc w:val="both"/>
        <w:rPr>
          <w:rStyle w:val="dn"/>
          <w:rFonts w:ascii="Arial" w:eastAsia="Arial" w:hAnsi="Arial" w:cs="Arial"/>
          <w:b/>
          <w:bCs/>
          <w:sz w:val="18"/>
          <w:szCs w:val="18"/>
          <w:lang w:val="cs-CZ"/>
        </w:rPr>
      </w:pPr>
    </w:p>
    <w:p w14:paraId="2B4F6122" w14:textId="77777777" w:rsidR="00307FE2" w:rsidRPr="00812D56" w:rsidRDefault="00427E10">
      <w:pPr>
        <w:spacing w:after="120"/>
        <w:jc w:val="both"/>
        <w:rPr>
          <w:rStyle w:val="dn"/>
          <w:rFonts w:ascii="Arial" w:eastAsia="Arial" w:hAnsi="Arial" w:cs="Arial"/>
          <w:b/>
          <w:bCs/>
          <w:sz w:val="18"/>
          <w:szCs w:val="18"/>
          <w:lang w:val="cs-CZ"/>
        </w:rPr>
      </w:pPr>
      <w:r w:rsidRPr="00812D56">
        <w:rPr>
          <w:rStyle w:val="dn"/>
          <w:rFonts w:ascii="Arial" w:hAnsi="Arial"/>
          <w:b/>
          <w:bCs/>
          <w:sz w:val="18"/>
          <w:szCs w:val="18"/>
          <w:lang w:val="cs-CZ"/>
        </w:rPr>
        <w:t>O společnosti Broker Consulting</w:t>
      </w:r>
    </w:p>
    <w:p w14:paraId="1F4E192A" w14:textId="451D0969" w:rsidR="00307FE2" w:rsidRDefault="00595A0C" w:rsidP="00595A0C">
      <w:pPr>
        <w:jc w:val="both"/>
        <w:rPr>
          <w:rStyle w:val="dn"/>
          <w:rFonts w:ascii="Arial" w:hAnsi="Arial"/>
          <w:sz w:val="18"/>
          <w:szCs w:val="18"/>
          <w:lang w:val="cs-CZ"/>
        </w:rPr>
      </w:pP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Broker Consulting je jednou z největších poradenských společností na českém </w:t>
      </w:r>
      <w:r>
        <w:rPr>
          <w:rStyle w:val="dn"/>
          <w:rFonts w:ascii="Arial" w:hAnsi="Arial"/>
          <w:sz w:val="18"/>
          <w:szCs w:val="18"/>
          <w:lang w:val="cs-CZ"/>
        </w:rPr>
        <w:t>a</w:t>
      </w: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 slovenském trhu v oblasti financí a realit. Od roku 1998 získala důvěru více než 6</w:t>
      </w:r>
      <w:r w:rsidR="00906B26">
        <w:rPr>
          <w:rStyle w:val="dn"/>
          <w:rFonts w:ascii="Arial" w:hAnsi="Arial"/>
          <w:sz w:val="18"/>
          <w:szCs w:val="18"/>
          <w:lang w:val="cs-CZ"/>
        </w:rPr>
        <w:t>0</w:t>
      </w:r>
      <w:r w:rsidRPr="00812D56">
        <w:rPr>
          <w:rStyle w:val="dn"/>
          <w:rFonts w:ascii="Arial" w:hAnsi="Arial"/>
          <w:sz w:val="18"/>
          <w:szCs w:val="18"/>
          <w:lang w:val="cs-CZ"/>
        </w:rPr>
        <w:t>0 000 klientů. Poskytuje také služby přes 4 000 firmám. Služby společnosti Broker Consulting poskytuje přibližně 1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500 finančních konzultantů ve více než 100 klientských centrech a kancelářích. Společnost přinesla na český 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a slovenský </w:t>
      </w:r>
      <w:r w:rsidRPr="00812D56">
        <w:rPr>
          <w:rStyle w:val="dn"/>
          <w:rFonts w:ascii="Arial" w:hAnsi="Arial"/>
          <w:sz w:val="18"/>
          <w:szCs w:val="18"/>
          <w:lang w:val="cs-CZ"/>
        </w:rPr>
        <w:t>trh řadu inovací. Jednalo se například o investice do otevřených podílových fondů se zamykáním zisků nebo unikátní produkty  životního dopojištění, které umožňují pojistit smrt a invaliditu za zlomek obvyklých cen. Broker Consulting rovněž ve spolupráci s </w:t>
      </w:r>
      <w:proofErr w:type="spellStart"/>
      <w:r w:rsidRPr="00812D56">
        <w:rPr>
          <w:rStyle w:val="dn"/>
          <w:rFonts w:ascii="Arial" w:hAnsi="Arial"/>
          <w:sz w:val="18"/>
          <w:szCs w:val="18"/>
          <w:lang w:val="cs-CZ"/>
        </w:rPr>
        <w:t>mBank</w:t>
      </w:r>
      <w:proofErr w:type="spellEnd"/>
      <w:r w:rsidRPr="00812D56">
        <w:rPr>
          <w:rStyle w:val="dn"/>
          <w:rFonts w:ascii="Arial" w:hAnsi="Arial"/>
          <w:sz w:val="18"/>
          <w:szCs w:val="18"/>
          <w:lang w:val="cs-CZ"/>
        </w:rPr>
        <w:t xml:space="preserve"> vytváří síť franšízových poboček pod názvem OK POINT, kterých je aktuálně otevřeno </w:t>
      </w:r>
      <w:r>
        <w:rPr>
          <w:rStyle w:val="dn"/>
          <w:rFonts w:ascii="Arial" w:hAnsi="Arial"/>
          <w:sz w:val="18"/>
          <w:szCs w:val="18"/>
          <w:lang w:val="cs-CZ"/>
        </w:rPr>
        <w:t>44</w:t>
      </w:r>
      <w:r w:rsidRPr="00812D56">
        <w:rPr>
          <w:rStyle w:val="dn"/>
          <w:rFonts w:ascii="Arial" w:hAnsi="Arial"/>
          <w:sz w:val="18"/>
          <w:szCs w:val="18"/>
          <w:lang w:val="cs-CZ"/>
        </w:rPr>
        <w:t>.</w:t>
      </w:r>
      <w:r>
        <w:rPr>
          <w:rStyle w:val="dn"/>
          <w:rFonts w:ascii="Arial" w:hAnsi="Arial"/>
          <w:sz w:val="18"/>
          <w:szCs w:val="18"/>
          <w:lang w:val="cs-CZ"/>
        </w:rPr>
        <w:t xml:space="preserve">  </w:t>
      </w:r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Více na </w:t>
      </w:r>
      <w:hyperlink r:id="rId8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www.bcas.cz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a na </w:t>
      </w:r>
      <w:hyperlink r:id="rId9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www.okpointy.cz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. Navštivte také náš </w:t>
      </w:r>
      <w:hyperlink r:id="rId10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Facebook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a </w:t>
      </w:r>
      <w:hyperlink r:id="rId11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LinkedIN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Broker Consulting a </w:t>
      </w:r>
      <w:hyperlink r:id="rId12" w:history="1"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Facebook</w:t>
        </w:r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a </w:t>
      </w:r>
      <w:hyperlink r:id="rId13" w:history="1">
        <w:proofErr w:type="spellStart"/>
        <w:r w:rsidRPr="00221BC9">
          <w:rPr>
            <w:rStyle w:val="Hypertextovodkaz"/>
            <w:rFonts w:ascii="Arial" w:hAnsi="Arial" w:cs="Arial"/>
            <w:sz w:val="18"/>
            <w:szCs w:val="18"/>
            <w:lang w:val="cs-CZ"/>
          </w:rPr>
          <w:t>LinkedIn</w:t>
        </w:r>
        <w:proofErr w:type="spellEnd"/>
      </w:hyperlink>
      <w:r w:rsidRPr="00221BC9">
        <w:rPr>
          <w:rStyle w:val="dn"/>
          <w:rFonts w:ascii="Arial" w:hAnsi="Arial" w:cs="Arial"/>
          <w:sz w:val="18"/>
          <w:szCs w:val="18"/>
          <w:lang w:val="cs-CZ"/>
        </w:rPr>
        <w:t xml:space="preserve"> OK </w:t>
      </w:r>
      <w:proofErr w:type="spellStart"/>
      <w:r w:rsidRPr="00221BC9">
        <w:rPr>
          <w:rStyle w:val="dn"/>
          <w:rFonts w:ascii="Arial" w:hAnsi="Arial" w:cs="Arial"/>
          <w:sz w:val="18"/>
          <w:szCs w:val="18"/>
          <w:lang w:val="cs-CZ"/>
        </w:rPr>
        <w:t>POINTů</w:t>
      </w:r>
      <w:proofErr w:type="spellEnd"/>
      <w:r w:rsidRPr="00221BC9">
        <w:rPr>
          <w:rStyle w:val="dn"/>
          <w:rFonts w:ascii="Arial" w:hAnsi="Arial" w:cs="Arial"/>
          <w:sz w:val="18"/>
          <w:szCs w:val="18"/>
          <w:lang w:val="cs-CZ"/>
        </w:rPr>
        <w:t>.</w:t>
      </w:r>
      <w:r>
        <w:rPr>
          <w:rStyle w:val="dn"/>
          <w:rFonts w:ascii="Arial" w:hAnsi="Arial" w:cs="Arial"/>
          <w:sz w:val="18"/>
          <w:szCs w:val="18"/>
        </w:rPr>
        <w:t xml:space="preserve"> </w:t>
      </w:r>
      <w:bookmarkEnd w:id="0"/>
    </w:p>
    <w:sectPr w:rsidR="00307FE2" w:rsidSect="00252BA7">
      <w:headerReference w:type="default" r:id="rId14"/>
      <w:pgSz w:w="11900" w:h="16840"/>
      <w:pgMar w:top="2694" w:right="1274" w:bottom="993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D4501F" w16cid:durableId="217470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FADA" w14:textId="77777777" w:rsidR="00936CD7" w:rsidRDefault="00936CD7">
      <w:pPr>
        <w:spacing w:after="0" w:line="240" w:lineRule="auto"/>
      </w:pPr>
      <w:r>
        <w:separator/>
      </w:r>
    </w:p>
  </w:endnote>
  <w:endnote w:type="continuationSeparator" w:id="0">
    <w:p w14:paraId="1887E1FE" w14:textId="77777777" w:rsidR="00936CD7" w:rsidRDefault="009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9CA62" w14:textId="77777777" w:rsidR="00936CD7" w:rsidRDefault="00936CD7">
      <w:pPr>
        <w:spacing w:after="0" w:line="240" w:lineRule="auto"/>
      </w:pPr>
      <w:r>
        <w:separator/>
      </w:r>
    </w:p>
  </w:footnote>
  <w:footnote w:type="continuationSeparator" w:id="0">
    <w:p w14:paraId="6055B826" w14:textId="77777777" w:rsidR="00936CD7" w:rsidRDefault="0093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0D19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val="cs-CZ"/>
      </w:rPr>
      <w:drawing>
        <wp:anchor distT="152400" distB="152400" distL="152400" distR="152400" simplePos="0" relativeHeight="251657216" behindDoc="1" locked="0" layoutInCell="1" allowOverlap="1" wp14:anchorId="07C6609C" wp14:editId="6074ED1A">
          <wp:simplePos x="0" y="0"/>
          <wp:positionH relativeFrom="margin">
            <wp:align>left</wp:align>
          </wp:positionH>
          <wp:positionV relativeFrom="page">
            <wp:posOffset>347345</wp:posOffset>
          </wp:positionV>
          <wp:extent cx="1699261" cy="838200"/>
          <wp:effectExtent l="0" t="0" r="3810" b="0"/>
          <wp:wrapNone/>
          <wp:docPr id="7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261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E53CC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</w:p>
  <w:p w14:paraId="7CA1792B" w14:textId="77777777" w:rsidR="00536271" w:rsidRDefault="00536271" w:rsidP="00221BC9">
    <w:pPr>
      <w:pStyle w:val="Zhlav"/>
      <w:tabs>
        <w:tab w:val="clear" w:pos="4536"/>
        <w:tab w:val="clear" w:pos="9072"/>
        <w:tab w:val="left" w:pos="1836"/>
      </w:tabs>
      <w:rPr>
        <w:rStyle w:val="dn"/>
        <w:rFonts w:ascii="Arial" w:hAnsi="Arial"/>
        <w:sz w:val="20"/>
        <w:szCs w:val="20"/>
      </w:rPr>
    </w:pPr>
    <w:r>
      <w:rPr>
        <w:rStyle w:val="dn"/>
        <w:rFonts w:ascii="Arial" w:hAnsi="Arial"/>
        <w:sz w:val="20"/>
        <w:szCs w:val="20"/>
      </w:rPr>
      <w:tab/>
    </w:r>
  </w:p>
  <w:p w14:paraId="59B27270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</w:p>
  <w:p w14:paraId="2DDD0A6E" w14:textId="77777777" w:rsidR="00536271" w:rsidRDefault="00536271">
    <w:pPr>
      <w:pStyle w:val="Zhlav"/>
      <w:rPr>
        <w:rStyle w:val="dn"/>
        <w:rFonts w:ascii="Arial" w:hAnsi="Arial"/>
        <w:sz w:val="20"/>
        <w:szCs w:val="20"/>
      </w:rPr>
    </w:pPr>
  </w:p>
  <w:p w14:paraId="13E5EC57" w14:textId="77777777" w:rsidR="00252BA7" w:rsidRDefault="00252BA7" w:rsidP="00221BC9">
    <w:pPr>
      <w:pStyle w:val="Zhlav"/>
      <w:jc w:val="center"/>
      <w:rPr>
        <w:rStyle w:val="dn"/>
        <w:rFonts w:ascii="Arial" w:hAnsi="Arial"/>
        <w:sz w:val="20"/>
        <w:szCs w:val="20"/>
      </w:rPr>
    </w:pPr>
  </w:p>
  <w:p w14:paraId="76A878EE" w14:textId="77777777" w:rsidR="00307FE2" w:rsidRDefault="00573563" w:rsidP="00221BC9">
    <w:pPr>
      <w:pStyle w:val="Zhlav"/>
      <w:jc w:val="center"/>
    </w:pPr>
    <w:r>
      <w:rPr>
        <w:rStyle w:val="dn"/>
        <w:rFonts w:ascii="Arial" w:hAnsi="Arial"/>
        <w:sz w:val="20"/>
        <w:szCs w:val="20"/>
      </w:rPr>
      <w:t>KOMENTÁŘ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2DB"/>
    <w:multiLevelType w:val="hybridMultilevel"/>
    <w:tmpl w:val="3BDCE586"/>
    <w:lvl w:ilvl="0" w:tplc="B82CE88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1EB6"/>
    <w:multiLevelType w:val="hybridMultilevel"/>
    <w:tmpl w:val="D6B22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1AF"/>
    <w:multiLevelType w:val="hybridMultilevel"/>
    <w:tmpl w:val="21B43D8A"/>
    <w:lvl w:ilvl="0" w:tplc="E28478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CD4"/>
    <w:multiLevelType w:val="hybridMultilevel"/>
    <w:tmpl w:val="15BE6646"/>
    <w:lvl w:ilvl="0" w:tplc="333E554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61B"/>
    <w:multiLevelType w:val="hybridMultilevel"/>
    <w:tmpl w:val="67DE0A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34CE"/>
    <w:multiLevelType w:val="hybridMultilevel"/>
    <w:tmpl w:val="5ABA03D4"/>
    <w:lvl w:ilvl="0" w:tplc="9106F9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3230"/>
    <w:multiLevelType w:val="hybridMultilevel"/>
    <w:tmpl w:val="2A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2660"/>
    <w:multiLevelType w:val="hybridMultilevel"/>
    <w:tmpl w:val="D1ECD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81D5A"/>
    <w:multiLevelType w:val="hybridMultilevel"/>
    <w:tmpl w:val="1C4AACAA"/>
    <w:lvl w:ilvl="0" w:tplc="399CA952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97DDA"/>
    <w:multiLevelType w:val="multilevel"/>
    <w:tmpl w:val="D2D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A76FB"/>
    <w:multiLevelType w:val="hybridMultilevel"/>
    <w:tmpl w:val="78189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50034"/>
    <w:multiLevelType w:val="hybridMultilevel"/>
    <w:tmpl w:val="96281864"/>
    <w:lvl w:ilvl="0" w:tplc="738650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23AE1"/>
    <w:multiLevelType w:val="hybridMultilevel"/>
    <w:tmpl w:val="F9D856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E2"/>
    <w:rsid w:val="00001C52"/>
    <w:rsid w:val="00003C71"/>
    <w:rsid w:val="00014A6C"/>
    <w:rsid w:val="000231FE"/>
    <w:rsid w:val="0002735C"/>
    <w:rsid w:val="000353D7"/>
    <w:rsid w:val="00035E4B"/>
    <w:rsid w:val="00036E55"/>
    <w:rsid w:val="000377E3"/>
    <w:rsid w:val="0004110E"/>
    <w:rsid w:val="00043853"/>
    <w:rsid w:val="00051430"/>
    <w:rsid w:val="00060DD9"/>
    <w:rsid w:val="00064FE4"/>
    <w:rsid w:val="00071309"/>
    <w:rsid w:val="0007621A"/>
    <w:rsid w:val="00081960"/>
    <w:rsid w:val="00082950"/>
    <w:rsid w:val="000902E1"/>
    <w:rsid w:val="000A61C2"/>
    <w:rsid w:val="000B0F07"/>
    <w:rsid w:val="000C47A9"/>
    <w:rsid w:val="000C54E6"/>
    <w:rsid w:val="000D2640"/>
    <w:rsid w:val="000E0354"/>
    <w:rsid w:val="000E23A1"/>
    <w:rsid w:val="000E2611"/>
    <w:rsid w:val="000E3F47"/>
    <w:rsid w:val="000E4769"/>
    <w:rsid w:val="000E7195"/>
    <w:rsid w:val="000E7636"/>
    <w:rsid w:val="000F274C"/>
    <w:rsid w:val="000F277C"/>
    <w:rsid w:val="000F3451"/>
    <w:rsid w:val="000F4109"/>
    <w:rsid w:val="00102BFD"/>
    <w:rsid w:val="00110852"/>
    <w:rsid w:val="00115E66"/>
    <w:rsid w:val="00117E4D"/>
    <w:rsid w:val="00122F8B"/>
    <w:rsid w:val="00123108"/>
    <w:rsid w:val="001259F2"/>
    <w:rsid w:val="0012691F"/>
    <w:rsid w:val="00135B35"/>
    <w:rsid w:val="00145CE0"/>
    <w:rsid w:val="00147AD1"/>
    <w:rsid w:val="001518E2"/>
    <w:rsid w:val="00153A63"/>
    <w:rsid w:val="00154E1B"/>
    <w:rsid w:val="00156C2E"/>
    <w:rsid w:val="001575C2"/>
    <w:rsid w:val="00167643"/>
    <w:rsid w:val="00176D56"/>
    <w:rsid w:val="00194138"/>
    <w:rsid w:val="00196439"/>
    <w:rsid w:val="001A2AFB"/>
    <w:rsid w:val="001B1FCD"/>
    <w:rsid w:val="001B20C0"/>
    <w:rsid w:val="001C4D08"/>
    <w:rsid w:val="001D0D0A"/>
    <w:rsid w:val="001D7AAE"/>
    <w:rsid w:val="001F2E77"/>
    <w:rsid w:val="001F4028"/>
    <w:rsid w:val="001F77B1"/>
    <w:rsid w:val="002071F5"/>
    <w:rsid w:val="00214EB1"/>
    <w:rsid w:val="00221BC9"/>
    <w:rsid w:val="0022274C"/>
    <w:rsid w:val="00224D74"/>
    <w:rsid w:val="002336F0"/>
    <w:rsid w:val="00234B75"/>
    <w:rsid w:val="00241D26"/>
    <w:rsid w:val="00245394"/>
    <w:rsid w:val="00247080"/>
    <w:rsid w:val="00252BA7"/>
    <w:rsid w:val="00255DE5"/>
    <w:rsid w:val="002644C9"/>
    <w:rsid w:val="00264833"/>
    <w:rsid w:val="00270C80"/>
    <w:rsid w:val="00271696"/>
    <w:rsid w:val="00272749"/>
    <w:rsid w:val="002823D6"/>
    <w:rsid w:val="00282CFE"/>
    <w:rsid w:val="002872EC"/>
    <w:rsid w:val="00287B26"/>
    <w:rsid w:val="00287E42"/>
    <w:rsid w:val="00290B9C"/>
    <w:rsid w:val="00294482"/>
    <w:rsid w:val="002957EB"/>
    <w:rsid w:val="002A3B89"/>
    <w:rsid w:val="002B27ED"/>
    <w:rsid w:val="002B7293"/>
    <w:rsid w:val="002C1529"/>
    <w:rsid w:val="002C2F9D"/>
    <w:rsid w:val="002C65E7"/>
    <w:rsid w:val="002E477A"/>
    <w:rsid w:val="002E6D87"/>
    <w:rsid w:val="00307FE2"/>
    <w:rsid w:val="003148C8"/>
    <w:rsid w:val="00315502"/>
    <w:rsid w:val="003206FE"/>
    <w:rsid w:val="00322FC4"/>
    <w:rsid w:val="00326F12"/>
    <w:rsid w:val="00331E27"/>
    <w:rsid w:val="00332AAB"/>
    <w:rsid w:val="00333462"/>
    <w:rsid w:val="00340C60"/>
    <w:rsid w:val="0034442C"/>
    <w:rsid w:val="00353940"/>
    <w:rsid w:val="003568C2"/>
    <w:rsid w:val="00377319"/>
    <w:rsid w:val="0038250F"/>
    <w:rsid w:val="00382B66"/>
    <w:rsid w:val="00383E22"/>
    <w:rsid w:val="003B57E3"/>
    <w:rsid w:val="003B6A69"/>
    <w:rsid w:val="003B7CD2"/>
    <w:rsid w:val="003C1FA3"/>
    <w:rsid w:val="003C2929"/>
    <w:rsid w:val="003C5C9B"/>
    <w:rsid w:val="003C6052"/>
    <w:rsid w:val="003C7765"/>
    <w:rsid w:val="003C7837"/>
    <w:rsid w:val="003D2606"/>
    <w:rsid w:val="003D4C9B"/>
    <w:rsid w:val="003E1AA4"/>
    <w:rsid w:val="003F15AC"/>
    <w:rsid w:val="00412682"/>
    <w:rsid w:val="00427E10"/>
    <w:rsid w:val="00434582"/>
    <w:rsid w:val="00436025"/>
    <w:rsid w:val="00437FEB"/>
    <w:rsid w:val="0044564B"/>
    <w:rsid w:val="004508A5"/>
    <w:rsid w:val="00453CA2"/>
    <w:rsid w:val="0046098F"/>
    <w:rsid w:val="004659B4"/>
    <w:rsid w:val="00476775"/>
    <w:rsid w:val="00476D52"/>
    <w:rsid w:val="00477D89"/>
    <w:rsid w:val="004828A3"/>
    <w:rsid w:val="00484656"/>
    <w:rsid w:val="0048604C"/>
    <w:rsid w:val="0049654D"/>
    <w:rsid w:val="004A3998"/>
    <w:rsid w:val="004A5DCF"/>
    <w:rsid w:val="004A73CC"/>
    <w:rsid w:val="004B0BD8"/>
    <w:rsid w:val="004B2A68"/>
    <w:rsid w:val="004B4F9C"/>
    <w:rsid w:val="004B624E"/>
    <w:rsid w:val="004C0D06"/>
    <w:rsid w:val="004F498A"/>
    <w:rsid w:val="004F6BBB"/>
    <w:rsid w:val="004F6FB9"/>
    <w:rsid w:val="0050748D"/>
    <w:rsid w:val="00511C9A"/>
    <w:rsid w:val="00523FA2"/>
    <w:rsid w:val="00532CDE"/>
    <w:rsid w:val="00534946"/>
    <w:rsid w:val="00536271"/>
    <w:rsid w:val="00540966"/>
    <w:rsid w:val="005478A2"/>
    <w:rsid w:val="00553D4C"/>
    <w:rsid w:val="005568EE"/>
    <w:rsid w:val="0055750D"/>
    <w:rsid w:val="00560410"/>
    <w:rsid w:val="00564943"/>
    <w:rsid w:val="00565B3F"/>
    <w:rsid w:val="0056675D"/>
    <w:rsid w:val="0056735E"/>
    <w:rsid w:val="00567DEF"/>
    <w:rsid w:val="0057135E"/>
    <w:rsid w:val="00573563"/>
    <w:rsid w:val="00574A2A"/>
    <w:rsid w:val="00576C2F"/>
    <w:rsid w:val="00580C26"/>
    <w:rsid w:val="005921A8"/>
    <w:rsid w:val="00593AAE"/>
    <w:rsid w:val="00595A0C"/>
    <w:rsid w:val="005B06D2"/>
    <w:rsid w:val="005B129E"/>
    <w:rsid w:val="005B3D8E"/>
    <w:rsid w:val="005B7417"/>
    <w:rsid w:val="005B7E11"/>
    <w:rsid w:val="005C34EB"/>
    <w:rsid w:val="005C5E14"/>
    <w:rsid w:val="005C74D6"/>
    <w:rsid w:val="005D02AE"/>
    <w:rsid w:val="005D1F29"/>
    <w:rsid w:val="005D6081"/>
    <w:rsid w:val="005E4BE9"/>
    <w:rsid w:val="00600598"/>
    <w:rsid w:val="00604AC6"/>
    <w:rsid w:val="00610474"/>
    <w:rsid w:val="00614199"/>
    <w:rsid w:val="0061668F"/>
    <w:rsid w:val="006171A1"/>
    <w:rsid w:val="00621993"/>
    <w:rsid w:val="0063203B"/>
    <w:rsid w:val="00637DB3"/>
    <w:rsid w:val="00640401"/>
    <w:rsid w:val="00641AD3"/>
    <w:rsid w:val="00643268"/>
    <w:rsid w:val="006460FD"/>
    <w:rsid w:val="00646DDD"/>
    <w:rsid w:val="00647062"/>
    <w:rsid w:val="00647495"/>
    <w:rsid w:val="00651F53"/>
    <w:rsid w:val="0066246C"/>
    <w:rsid w:val="00670219"/>
    <w:rsid w:val="006713D1"/>
    <w:rsid w:val="00672093"/>
    <w:rsid w:val="006752F5"/>
    <w:rsid w:val="0067767D"/>
    <w:rsid w:val="00680893"/>
    <w:rsid w:val="00681FEE"/>
    <w:rsid w:val="006843C9"/>
    <w:rsid w:val="0069543D"/>
    <w:rsid w:val="00695C88"/>
    <w:rsid w:val="00697906"/>
    <w:rsid w:val="006A2B9A"/>
    <w:rsid w:val="006B4FBD"/>
    <w:rsid w:val="006B7F2E"/>
    <w:rsid w:val="006C2CE4"/>
    <w:rsid w:val="006C4B17"/>
    <w:rsid w:val="006D13BC"/>
    <w:rsid w:val="006D4511"/>
    <w:rsid w:val="006D4CA4"/>
    <w:rsid w:val="006D4FD9"/>
    <w:rsid w:val="006E7EBC"/>
    <w:rsid w:val="00707A3B"/>
    <w:rsid w:val="00716502"/>
    <w:rsid w:val="00725D9A"/>
    <w:rsid w:val="00727A5A"/>
    <w:rsid w:val="0073006F"/>
    <w:rsid w:val="0073200E"/>
    <w:rsid w:val="00740D8D"/>
    <w:rsid w:val="0074327C"/>
    <w:rsid w:val="0074370D"/>
    <w:rsid w:val="00746D83"/>
    <w:rsid w:val="00756BF2"/>
    <w:rsid w:val="00757649"/>
    <w:rsid w:val="007734B5"/>
    <w:rsid w:val="0078513D"/>
    <w:rsid w:val="00786F62"/>
    <w:rsid w:val="00786FE0"/>
    <w:rsid w:val="007907A7"/>
    <w:rsid w:val="007A2AFC"/>
    <w:rsid w:val="007A2FFA"/>
    <w:rsid w:val="007A32BC"/>
    <w:rsid w:val="007A675F"/>
    <w:rsid w:val="007A7B9D"/>
    <w:rsid w:val="007B41C9"/>
    <w:rsid w:val="007B6A7E"/>
    <w:rsid w:val="007C368B"/>
    <w:rsid w:val="007C7877"/>
    <w:rsid w:val="007D02C8"/>
    <w:rsid w:val="007D6341"/>
    <w:rsid w:val="007E1014"/>
    <w:rsid w:val="007E48D2"/>
    <w:rsid w:val="007E581A"/>
    <w:rsid w:val="007F15C7"/>
    <w:rsid w:val="0080602D"/>
    <w:rsid w:val="00807791"/>
    <w:rsid w:val="00812D56"/>
    <w:rsid w:val="008223DF"/>
    <w:rsid w:val="00830645"/>
    <w:rsid w:val="00833CB1"/>
    <w:rsid w:val="00836509"/>
    <w:rsid w:val="00837763"/>
    <w:rsid w:val="00840E8E"/>
    <w:rsid w:val="00847E90"/>
    <w:rsid w:val="0085038E"/>
    <w:rsid w:val="00852590"/>
    <w:rsid w:val="00865A32"/>
    <w:rsid w:val="00871698"/>
    <w:rsid w:val="00872599"/>
    <w:rsid w:val="008755D7"/>
    <w:rsid w:val="008771A0"/>
    <w:rsid w:val="00880654"/>
    <w:rsid w:val="008924AE"/>
    <w:rsid w:val="00893A96"/>
    <w:rsid w:val="008A4EA7"/>
    <w:rsid w:val="008A54D9"/>
    <w:rsid w:val="008A7CF7"/>
    <w:rsid w:val="008B0504"/>
    <w:rsid w:val="008B68E6"/>
    <w:rsid w:val="008C7B2F"/>
    <w:rsid w:val="008D4222"/>
    <w:rsid w:val="008D4F87"/>
    <w:rsid w:val="008E792C"/>
    <w:rsid w:val="00900131"/>
    <w:rsid w:val="00901888"/>
    <w:rsid w:val="00906B26"/>
    <w:rsid w:val="00911B3C"/>
    <w:rsid w:val="009126D1"/>
    <w:rsid w:val="009270A8"/>
    <w:rsid w:val="00932648"/>
    <w:rsid w:val="00932F0B"/>
    <w:rsid w:val="0093430C"/>
    <w:rsid w:val="00936CD7"/>
    <w:rsid w:val="00943DA6"/>
    <w:rsid w:val="00944D13"/>
    <w:rsid w:val="00946110"/>
    <w:rsid w:val="009462E9"/>
    <w:rsid w:val="009507B6"/>
    <w:rsid w:val="009575B2"/>
    <w:rsid w:val="00962181"/>
    <w:rsid w:val="0099360C"/>
    <w:rsid w:val="00993AA6"/>
    <w:rsid w:val="00993E43"/>
    <w:rsid w:val="009A0BA1"/>
    <w:rsid w:val="009A14EA"/>
    <w:rsid w:val="009B356A"/>
    <w:rsid w:val="009B3991"/>
    <w:rsid w:val="009B3BA4"/>
    <w:rsid w:val="009C213D"/>
    <w:rsid w:val="009C27F8"/>
    <w:rsid w:val="009C679F"/>
    <w:rsid w:val="009D182F"/>
    <w:rsid w:val="009D5B79"/>
    <w:rsid w:val="009E7F2C"/>
    <w:rsid w:val="009F0042"/>
    <w:rsid w:val="009F0D77"/>
    <w:rsid w:val="009F12B8"/>
    <w:rsid w:val="009F2C1F"/>
    <w:rsid w:val="009F5880"/>
    <w:rsid w:val="009F7C51"/>
    <w:rsid w:val="00A13E15"/>
    <w:rsid w:val="00A2360B"/>
    <w:rsid w:val="00A277B3"/>
    <w:rsid w:val="00A32646"/>
    <w:rsid w:val="00A366FB"/>
    <w:rsid w:val="00A470D0"/>
    <w:rsid w:val="00A4739A"/>
    <w:rsid w:val="00A57725"/>
    <w:rsid w:val="00A66270"/>
    <w:rsid w:val="00A7028A"/>
    <w:rsid w:val="00A71AFE"/>
    <w:rsid w:val="00A7266A"/>
    <w:rsid w:val="00A742F9"/>
    <w:rsid w:val="00A81A45"/>
    <w:rsid w:val="00A83554"/>
    <w:rsid w:val="00A864F9"/>
    <w:rsid w:val="00A96C5C"/>
    <w:rsid w:val="00AA3FE3"/>
    <w:rsid w:val="00AC7E1D"/>
    <w:rsid w:val="00AD02BA"/>
    <w:rsid w:val="00AF044B"/>
    <w:rsid w:val="00AF05EF"/>
    <w:rsid w:val="00AF05F2"/>
    <w:rsid w:val="00AF12D5"/>
    <w:rsid w:val="00AF58B0"/>
    <w:rsid w:val="00B00CB4"/>
    <w:rsid w:val="00B0252B"/>
    <w:rsid w:val="00B03313"/>
    <w:rsid w:val="00B108F6"/>
    <w:rsid w:val="00B23A07"/>
    <w:rsid w:val="00B33B98"/>
    <w:rsid w:val="00B461CD"/>
    <w:rsid w:val="00B50085"/>
    <w:rsid w:val="00B52A17"/>
    <w:rsid w:val="00B56A39"/>
    <w:rsid w:val="00B65703"/>
    <w:rsid w:val="00B67797"/>
    <w:rsid w:val="00B81ADF"/>
    <w:rsid w:val="00B86724"/>
    <w:rsid w:val="00B944D2"/>
    <w:rsid w:val="00B95190"/>
    <w:rsid w:val="00B96826"/>
    <w:rsid w:val="00BA45EF"/>
    <w:rsid w:val="00BB3C6C"/>
    <w:rsid w:val="00BB4607"/>
    <w:rsid w:val="00BB5FD6"/>
    <w:rsid w:val="00BC1C7D"/>
    <w:rsid w:val="00BD0863"/>
    <w:rsid w:val="00BD15A4"/>
    <w:rsid w:val="00BD28BB"/>
    <w:rsid w:val="00BD6C24"/>
    <w:rsid w:val="00BD7FB8"/>
    <w:rsid w:val="00BE58D3"/>
    <w:rsid w:val="00C022D4"/>
    <w:rsid w:val="00C073F8"/>
    <w:rsid w:val="00C10093"/>
    <w:rsid w:val="00C17072"/>
    <w:rsid w:val="00C24966"/>
    <w:rsid w:val="00C267F5"/>
    <w:rsid w:val="00C27AB4"/>
    <w:rsid w:val="00C27F0C"/>
    <w:rsid w:val="00C31CFD"/>
    <w:rsid w:val="00C37D72"/>
    <w:rsid w:val="00C37D8A"/>
    <w:rsid w:val="00C41868"/>
    <w:rsid w:val="00C50817"/>
    <w:rsid w:val="00C5268D"/>
    <w:rsid w:val="00C66DA4"/>
    <w:rsid w:val="00C706F4"/>
    <w:rsid w:val="00C769A2"/>
    <w:rsid w:val="00C7736F"/>
    <w:rsid w:val="00C8093A"/>
    <w:rsid w:val="00C8226B"/>
    <w:rsid w:val="00C8427C"/>
    <w:rsid w:val="00C84DF7"/>
    <w:rsid w:val="00C86122"/>
    <w:rsid w:val="00C87412"/>
    <w:rsid w:val="00C87898"/>
    <w:rsid w:val="00C87E70"/>
    <w:rsid w:val="00C955EE"/>
    <w:rsid w:val="00C96B62"/>
    <w:rsid w:val="00CA45F3"/>
    <w:rsid w:val="00CB0BD9"/>
    <w:rsid w:val="00CB3CA9"/>
    <w:rsid w:val="00CB5E5E"/>
    <w:rsid w:val="00CB7830"/>
    <w:rsid w:val="00CC0AED"/>
    <w:rsid w:val="00CC27A2"/>
    <w:rsid w:val="00CC544C"/>
    <w:rsid w:val="00CC5DDA"/>
    <w:rsid w:val="00CE1672"/>
    <w:rsid w:val="00CE1B17"/>
    <w:rsid w:val="00CE2931"/>
    <w:rsid w:val="00CE6B9B"/>
    <w:rsid w:val="00CF0EB7"/>
    <w:rsid w:val="00CF33A7"/>
    <w:rsid w:val="00D013AB"/>
    <w:rsid w:val="00D0428B"/>
    <w:rsid w:val="00D0519E"/>
    <w:rsid w:val="00D053B6"/>
    <w:rsid w:val="00D45187"/>
    <w:rsid w:val="00D57D55"/>
    <w:rsid w:val="00D60275"/>
    <w:rsid w:val="00D62D67"/>
    <w:rsid w:val="00D652F4"/>
    <w:rsid w:val="00D675C8"/>
    <w:rsid w:val="00D744E2"/>
    <w:rsid w:val="00D74B5A"/>
    <w:rsid w:val="00D7766D"/>
    <w:rsid w:val="00D84526"/>
    <w:rsid w:val="00DA0C6C"/>
    <w:rsid w:val="00DA23AD"/>
    <w:rsid w:val="00DC4891"/>
    <w:rsid w:val="00DD058B"/>
    <w:rsid w:val="00DD0E9B"/>
    <w:rsid w:val="00DD28A5"/>
    <w:rsid w:val="00DD33E6"/>
    <w:rsid w:val="00DD5F80"/>
    <w:rsid w:val="00DD7FB0"/>
    <w:rsid w:val="00DE4C3C"/>
    <w:rsid w:val="00DE699B"/>
    <w:rsid w:val="00E00CF9"/>
    <w:rsid w:val="00E05D4C"/>
    <w:rsid w:val="00E1550A"/>
    <w:rsid w:val="00E2278E"/>
    <w:rsid w:val="00E22AE2"/>
    <w:rsid w:val="00E27C05"/>
    <w:rsid w:val="00E306D9"/>
    <w:rsid w:val="00E4349E"/>
    <w:rsid w:val="00E515B3"/>
    <w:rsid w:val="00E6131D"/>
    <w:rsid w:val="00E61C61"/>
    <w:rsid w:val="00E668CA"/>
    <w:rsid w:val="00E736DE"/>
    <w:rsid w:val="00E77ABE"/>
    <w:rsid w:val="00E8296F"/>
    <w:rsid w:val="00E86338"/>
    <w:rsid w:val="00E86349"/>
    <w:rsid w:val="00E87579"/>
    <w:rsid w:val="00E900AF"/>
    <w:rsid w:val="00E914F6"/>
    <w:rsid w:val="00E9405B"/>
    <w:rsid w:val="00E9463C"/>
    <w:rsid w:val="00E94878"/>
    <w:rsid w:val="00EA5382"/>
    <w:rsid w:val="00EB3F95"/>
    <w:rsid w:val="00EC0AD8"/>
    <w:rsid w:val="00EC65D9"/>
    <w:rsid w:val="00ED12CB"/>
    <w:rsid w:val="00ED556A"/>
    <w:rsid w:val="00ED7A45"/>
    <w:rsid w:val="00EF5927"/>
    <w:rsid w:val="00EF686C"/>
    <w:rsid w:val="00F00080"/>
    <w:rsid w:val="00F10AFD"/>
    <w:rsid w:val="00F13718"/>
    <w:rsid w:val="00F215D0"/>
    <w:rsid w:val="00F22135"/>
    <w:rsid w:val="00F222C8"/>
    <w:rsid w:val="00F2235B"/>
    <w:rsid w:val="00F233CB"/>
    <w:rsid w:val="00F31933"/>
    <w:rsid w:val="00F33FDD"/>
    <w:rsid w:val="00F40925"/>
    <w:rsid w:val="00F60FCA"/>
    <w:rsid w:val="00F70FF8"/>
    <w:rsid w:val="00F71CDE"/>
    <w:rsid w:val="00F73EC4"/>
    <w:rsid w:val="00F7405A"/>
    <w:rsid w:val="00F74FE6"/>
    <w:rsid w:val="00F7647D"/>
    <w:rsid w:val="00F84643"/>
    <w:rsid w:val="00F92A20"/>
    <w:rsid w:val="00F92E89"/>
    <w:rsid w:val="00F97389"/>
    <w:rsid w:val="00FB0979"/>
    <w:rsid w:val="00FB1F8A"/>
    <w:rsid w:val="00FB5D2E"/>
    <w:rsid w:val="00FC0C6F"/>
    <w:rsid w:val="00FD1AA0"/>
    <w:rsid w:val="00FD65A5"/>
    <w:rsid w:val="00FE2BA7"/>
    <w:rsid w:val="00FE573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76AFD"/>
  <w15:docId w15:val="{BEEC5E73-ED4E-41C5-A8F8-A315BA5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259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52590"/>
    <w:rPr>
      <w:u w:val="single"/>
    </w:rPr>
  </w:style>
  <w:style w:type="table" w:customStyle="1" w:styleId="TableNormal1">
    <w:name w:val="Table Normal1"/>
    <w:rsid w:val="00852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852590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dn">
    <w:name w:val="Žádný"/>
    <w:rsid w:val="00852590"/>
    <w:rPr>
      <w:lang w:val="de-DE"/>
    </w:rPr>
  </w:style>
  <w:style w:type="paragraph" w:customStyle="1" w:styleId="Zhlavazpat">
    <w:name w:val="Záhlaví a zápatí"/>
    <w:rsid w:val="008525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Vchoz">
    <w:name w:val="Výchozí"/>
    <w:rsid w:val="00852590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5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590"/>
    <w:rPr>
      <w:rFonts w:ascii="Calibri" w:eastAsia="Calibri" w:hAnsi="Calibri" w:cs="Calibri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5259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354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B75"/>
    <w:rPr>
      <w:rFonts w:ascii="Calibri" w:eastAsia="Calibri" w:hAnsi="Calibri" w:cs="Calibri"/>
      <w:b/>
      <w:bCs/>
      <w:color w:val="000000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53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27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5B06D2"/>
    <w:pPr>
      <w:ind w:left="720"/>
      <w:contextualSpacing/>
    </w:pPr>
  </w:style>
  <w:style w:type="paragraph" w:styleId="Revize">
    <w:name w:val="Revision"/>
    <w:hidden/>
    <w:uiPriority w:val="99"/>
    <w:semiHidden/>
    <w:rsid w:val="00790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customStyle="1" w:styleId="Tmavtabulkasmkou5zvraznn31">
    <w:name w:val="Tmavá tabulka s mřížkou 5 – zvýraznění 31"/>
    <w:basedOn w:val="Normlntabulka"/>
    <w:uiPriority w:val="50"/>
    <w:rsid w:val="009F58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mavtabulkasmkou51">
    <w:name w:val="Tmavá tabulka s mřížkou 51"/>
    <w:basedOn w:val="Normlntabulka"/>
    <w:uiPriority w:val="50"/>
    <w:rsid w:val="009F588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s.cz" TargetMode="External"/><Relationship Id="rId13" Type="http://schemas.openxmlformats.org/officeDocument/2006/relationships/hyperlink" Target="https://www.linkedin.com/company/1066815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k@bcas.cz" TargetMode="External"/><Relationship Id="rId12" Type="http://schemas.openxmlformats.org/officeDocument/2006/relationships/hyperlink" Target="https://www.facebook.com/okpointy/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78654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Broker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pointy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Baštýřová</dc:creator>
  <cp:lastModifiedBy>Viola Baštýřová</cp:lastModifiedBy>
  <cp:revision>4</cp:revision>
  <cp:lastPrinted>2019-08-21T15:08:00Z</cp:lastPrinted>
  <dcterms:created xsi:type="dcterms:W3CDTF">2019-11-12T07:16:00Z</dcterms:created>
  <dcterms:modified xsi:type="dcterms:W3CDTF">2019-12-09T09:59:00Z</dcterms:modified>
</cp:coreProperties>
</file>